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78A213" w14:textId="2F6B42AD" w:rsidR="00700050" w:rsidRPr="00700050" w:rsidRDefault="00700050">
      <w:pPr>
        <w:rPr>
          <w:rFonts w:ascii="Aptos" w:hAnsi="Aptos"/>
          <w:b/>
          <w:bCs/>
          <w:color w:val="000000"/>
          <w:shd w:val="clear" w:color="auto" w:fill="FFFFFF"/>
        </w:rPr>
      </w:pPr>
      <w:r w:rsidRPr="00700050">
        <w:rPr>
          <w:rFonts w:ascii="Aptos" w:hAnsi="Aptos"/>
          <w:b/>
          <w:bCs/>
          <w:color w:val="000000"/>
          <w:shd w:val="clear" w:color="auto" w:fill="FFFFFF"/>
        </w:rPr>
        <w:t>Figure 4</w:t>
      </w:r>
    </w:p>
    <w:p w14:paraId="4141A934" w14:textId="07C84E83" w:rsidR="00791352" w:rsidRDefault="00700050">
      <w:pPr>
        <w:rPr>
          <w:rFonts w:ascii="Aptos" w:hAnsi="Aptos"/>
          <w:color w:val="000000"/>
          <w:shd w:val="clear" w:color="auto" w:fill="FFFFFF"/>
        </w:rPr>
      </w:pPr>
      <w:r>
        <w:rPr>
          <w:rFonts w:ascii="Aptos" w:hAnsi="Aptos"/>
          <w:color w:val="000000"/>
          <w:shd w:val="clear" w:color="auto" w:fill="FFFFFF"/>
        </w:rPr>
        <w:br/>
      </w:r>
      <w:r w:rsidR="001E150E">
        <w:rPr>
          <w:rFonts w:ascii="Aptos" w:hAnsi="Aptos"/>
          <w:color w:val="000000"/>
          <w:shd w:val="clear" w:color="auto" w:fill="FFFFFF"/>
        </w:rPr>
        <w:t xml:space="preserve">(A) CD36 expression varies significantly among gastric cancer molecular subtypes (ANOVA, F = 8.975, p = 6.242e-07), with highest expression in GS subtype, and lowest in </w:t>
      </w:r>
      <w:r w:rsidR="001E150E">
        <w:rPr>
          <w:rFonts w:ascii="Aptos" w:hAnsi="Aptos"/>
          <w:color w:val="000000"/>
          <w:shd w:val="clear" w:color="auto" w:fill="FFFFFF"/>
        </w:rPr>
        <w:t>MSI</w:t>
      </w:r>
      <w:r w:rsidR="001E150E">
        <w:rPr>
          <w:rFonts w:ascii="Aptos" w:hAnsi="Aptos"/>
          <w:color w:val="000000"/>
          <w:shd w:val="clear" w:color="auto" w:fill="FFFFFF"/>
        </w:rPr>
        <w:t xml:space="preserve"> tumors.</w:t>
      </w:r>
    </w:p>
    <w:p w14:paraId="1B243998" w14:textId="77777777" w:rsidR="001E150E" w:rsidRDefault="001E150E">
      <w:pPr>
        <w:rPr>
          <w:rFonts w:ascii="Aptos" w:hAnsi="Aptos"/>
          <w:color w:val="000000"/>
          <w:shd w:val="clear" w:color="auto" w:fill="FFFFFF"/>
        </w:rPr>
      </w:pPr>
    </w:p>
    <w:p w14:paraId="513EFF3B" w14:textId="79E85CDA" w:rsidR="001E150E" w:rsidRDefault="001E150E">
      <w:pPr>
        <w:rPr>
          <w:rFonts w:ascii="Aptos" w:hAnsi="Aptos"/>
          <w:color w:val="000000"/>
          <w:shd w:val="clear" w:color="auto" w:fill="FFFFFF"/>
        </w:rPr>
      </w:pPr>
      <w:r>
        <w:rPr>
          <w:rFonts w:ascii="Aptos" w:hAnsi="Aptos"/>
          <w:color w:val="000000"/>
          <w:shd w:val="clear" w:color="auto" w:fill="FFFFFF"/>
        </w:rPr>
        <w:t xml:space="preserve">(B) </w:t>
      </w:r>
      <w:r w:rsidRPr="001E150E">
        <w:rPr>
          <w:rFonts w:ascii="Aptos" w:hAnsi="Aptos"/>
          <w:color w:val="000000"/>
          <w:shd w:val="clear" w:color="auto" w:fill="FFFFFF"/>
        </w:rPr>
        <w:t xml:space="preserve">CD36 expression increases with advancing AJCC stage, with Stage IV tumors showing the highest expression (ANOVA: F = 3.477, p = </w:t>
      </w:r>
      <w:r>
        <w:rPr>
          <w:rFonts w:ascii="Aptos" w:hAnsi="Aptos"/>
          <w:color w:val="000000"/>
          <w:shd w:val="clear" w:color="auto" w:fill="FFFFFF"/>
        </w:rPr>
        <w:t>0.016</w:t>
      </w:r>
      <w:r w:rsidRPr="001E150E">
        <w:rPr>
          <w:rFonts w:ascii="Aptos" w:hAnsi="Aptos"/>
          <w:color w:val="000000"/>
          <w:shd w:val="clear" w:color="auto" w:fill="FFFFFF"/>
        </w:rPr>
        <w:t>).</w:t>
      </w:r>
    </w:p>
    <w:p w14:paraId="280FE5A3" w14:textId="77777777" w:rsidR="001E150E" w:rsidRDefault="001E150E">
      <w:pPr>
        <w:rPr>
          <w:rFonts w:ascii="Aptos" w:hAnsi="Aptos"/>
          <w:color w:val="000000"/>
          <w:shd w:val="clear" w:color="auto" w:fill="FFFFFF"/>
        </w:rPr>
      </w:pPr>
    </w:p>
    <w:p w14:paraId="0717D7A8" w14:textId="4E0B0C2F" w:rsidR="001E150E" w:rsidRDefault="001E150E">
      <w:pPr>
        <w:rPr>
          <w:rFonts w:ascii="Aptos" w:hAnsi="Aptos"/>
          <w:color w:val="000000"/>
          <w:shd w:val="clear" w:color="auto" w:fill="FFFFFF"/>
        </w:rPr>
      </w:pPr>
      <w:r>
        <w:rPr>
          <w:rFonts w:ascii="Aptos" w:hAnsi="Aptos"/>
          <w:color w:val="000000"/>
          <w:shd w:val="clear" w:color="auto" w:fill="FFFFFF"/>
        </w:rPr>
        <w:t xml:space="preserve">(C) </w:t>
      </w:r>
      <w:r w:rsidRPr="001E150E">
        <w:rPr>
          <w:rFonts w:ascii="Aptos" w:hAnsi="Aptos"/>
          <w:color w:val="000000"/>
          <w:shd w:val="clear" w:color="auto" w:fill="FFFFFF"/>
        </w:rPr>
        <w:t xml:space="preserve">CD36 expression is highest in White patients compared to Asian and Black or African American groups (ANOVA: F = 4.998, p = </w:t>
      </w:r>
      <w:r>
        <w:rPr>
          <w:rFonts w:ascii="Aptos" w:hAnsi="Aptos"/>
          <w:color w:val="000000"/>
          <w:shd w:val="clear" w:color="auto" w:fill="FFFFFF"/>
        </w:rPr>
        <w:t>0.007</w:t>
      </w:r>
      <w:r w:rsidRPr="001E150E">
        <w:rPr>
          <w:rFonts w:ascii="Aptos" w:hAnsi="Aptos"/>
          <w:color w:val="000000"/>
          <w:shd w:val="clear" w:color="auto" w:fill="FFFFFF"/>
        </w:rPr>
        <w:t>).</w:t>
      </w:r>
    </w:p>
    <w:p w14:paraId="468B1109" w14:textId="77777777" w:rsidR="001E150E" w:rsidRDefault="001E150E">
      <w:pPr>
        <w:rPr>
          <w:rFonts w:ascii="Aptos" w:hAnsi="Aptos"/>
          <w:color w:val="000000"/>
          <w:shd w:val="clear" w:color="auto" w:fill="FFFFFF"/>
        </w:rPr>
      </w:pPr>
    </w:p>
    <w:p w14:paraId="1EBBBD97" w14:textId="7583C45E" w:rsidR="00075960" w:rsidRDefault="001E150E">
      <w:pPr>
        <w:rPr>
          <w:rFonts w:ascii="Aptos" w:hAnsi="Aptos"/>
          <w:color w:val="000000"/>
          <w:shd w:val="clear" w:color="auto" w:fill="FFFFFF"/>
        </w:rPr>
      </w:pPr>
      <w:r>
        <w:rPr>
          <w:rFonts w:ascii="Aptos" w:hAnsi="Aptos"/>
          <w:color w:val="000000"/>
          <w:shd w:val="clear" w:color="auto" w:fill="FFFFFF"/>
        </w:rPr>
        <w:t xml:space="preserve">(D) </w:t>
      </w:r>
      <w:r w:rsidRPr="001E150E">
        <w:rPr>
          <w:rFonts w:ascii="Aptos" w:hAnsi="Aptos"/>
          <w:color w:val="000000"/>
          <w:shd w:val="clear" w:color="auto" w:fill="FFFFFF"/>
        </w:rPr>
        <w:t xml:space="preserve">Left: Deceased patients show significantly higher CD36 expression than survivors (Welch’s t-test, </w:t>
      </w:r>
      <w:r w:rsidR="00075960" w:rsidRPr="00075960">
        <w:rPr>
          <w:rFonts w:ascii="Aptos" w:hAnsi="Aptos"/>
          <w:color w:val="000000"/>
          <w:shd w:val="clear" w:color="auto" w:fill="FFFFFF"/>
        </w:rPr>
        <w:t xml:space="preserve">t = 2.743, p = </w:t>
      </w:r>
      <w:r w:rsidR="00075960">
        <w:rPr>
          <w:rFonts w:ascii="Aptos" w:hAnsi="Aptos"/>
          <w:color w:val="000000"/>
          <w:shd w:val="clear" w:color="auto" w:fill="FFFFFF"/>
        </w:rPr>
        <w:t>0.006</w:t>
      </w:r>
      <w:r w:rsidRPr="001E150E">
        <w:rPr>
          <w:rFonts w:ascii="Aptos" w:hAnsi="Aptos"/>
          <w:color w:val="000000"/>
          <w:shd w:val="clear" w:color="auto" w:fill="FFFFFF"/>
        </w:rPr>
        <w:t xml:space="preserve">). Right: </w:t>
      </w:r>
      <w:r w:rsidR="0097553E" w:rsidRPr="0097553E">
        <w:rPr>
          <w:rFonts w:ascii="Aptos" w:hAnsi="Aptos"/>
          <w:color w:val="000000"/>
          <w:shd w:val="clear" w:color="auto" w:fill="FFFFFF"/>
        </w:rPr>
        <w:t>We examined overall survival stratified by CD36 expression level. The median overall survival was 55.4 months in the CD36-low group and 20.9 months in the CD36-high group. Cox proportional hazards regression indicated a significantly higher risk of death in the CD36-high group compared to the CD36-low group (HR = 1.69, 95% CI: 1.23–2.31, p = 0.001), suggesting that elevated CD36 expression is associated with worse prognosis.</w:t>
      </w:r>
    </w:p>
    <w:p w14:paraId="3F6E7FEB" w14:textId="77777777" w:rsidR="0097553E" w:rsidRDefault="0097553E">
      <w:pPr>
        <w:rPr>
          <w:rFonts w:ascii="Aptos" w:hAnsi="Aptos"/>
          <w:color w:val="000000"/>
          <w:shd w:val="clear" w:color="auto" w:fill="FFFFFF"/>
        </w:rPr>
      </w:pPr>
    </w:p>
    <w:p w14:paraId="76E11A52" w14:textId="70AF5FBE" w:rsidR="00075960" w:rsidRDefault="00075960">
      <w:r>
        <w:rPr>
          <w:rFonts w:ascii="Aptos" w:hAnsi="Aptos"/>
          <w:color w:val="000000"/>
          <w:shd w:val="clear" w:color="auto" w:fill="FFFFFF"/>
        </w:rPr>
        <w:t xml:space="preserve">(E) </w:t>
      </w:r>
      <w:r w:rsidRPr="00075960">
        <w:rPr>
          <w:rFonts w:ascii="Aptos" w:hAnsi="Aptos"/>
          <w:color w:val="000000"/>
          <w:shd w:val="clear" w:color="auto" w:fill="FFFFFF"/>
        </w:rPr>
        <w:t xml:space="preserve">Left: No difference in CD36 expression between male and female patients (t-test: t = 0.035, p = 0.972). Right: </w:t>
      </w:r>
      <w:r w:rsidR="0097553E" w:rsidRPr="0097553E">
        <w:rPr>
          <w:rFonts w:ascii="Aptos" w:hAnsi="Aptos"/>
          <w:color w:val="000000"/>
          <w:shd w:val="clear" w:color="auto" w:fill="FFFFFF"/>
        </w:rPr>
        <w:t>A Kaplan–Meier survival analysis was performed to evaluate overall survival differences between sexes. The median overall survival was 34.3 months for females and 26.3 months for males. A Cox proportional hazards model estimated a hazard ratio (HR) of 1.23 for males compared to females (95% CI: 0.88–1.72, p = 0.225),</w:t>
      </w:r>
      <w:r w:rsidR="0097553E">
        <w:rPr>
          <w:rFonts w:ascii="Aptos" w:hAnsi="Aptos"/>
          <w:color w:val="000000"/>
          <w:shd w:val="clear" w:color="auto" w:fill="FFFFFF"/>
        </w:rPr>
        <w:t xml:space="preserve"> </w:t>
      </w:r>
      <w:bookmarkStart w:id="0" w:name="OLE_LINK1"/>
      <w:r w:rsidRPr="00075960">
        <w:rPr>
          <w:rFonts w:ascii="Aptos" w:hAnsi="Aptos"/>
          <w:color w:val="000000"/>
          <w:shd w:val="clear" w:color="auto" w:fill="FFFFFF"/>
        </w:rPr>
        <w:t>indicating sex-independent prognostic relevance of CD</w:t>
      </w:r>
      <w:bookmarkEnd w:id="0"/>
      <w:r w:rsidR="00777312">
        <w:rPr>
          <w:rFonts w:ascii="Aptos" w:hAnsi="Aptos"/>
          <w:color w:val="000000"/>
          <w:shd w:val="clear" w:color="auto" w:fill="FFFFFF"/>
        </w:rPr>
        <w:t>36</w:t>
      </w:r>
    </w:p>
    <w:sectPr w:rsidR="0007596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4F4B"/>
    <w:rsid w:val="00075960"/>
    <w:rsid w:val="001E150E"/>
    <w:rsid w:val="00207D77"/>
    <w:rsid w:val="00252249"/>
    <w:rsid w:val="0048350A"/>
    <w:rsid w:val="005939EF"/>
    <w:rsid w:val="00700050"/>
    <w:rsid w:val="00777312"/>
    <w:rsid w:val="00791352"/>
    <w:rsid w:val="007F25EF"/>
    <w:rsid w:val="0097553E"/>
    <w:rsid w:val="00C54F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7851D69"/>
  <w15:chartTrackingRefBased/>
  <w15:docId w15:val="{F3B9824F-40E5-3942-875F-0EE8955660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4F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4F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4F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4F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4F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4F4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4F4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4F4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4F4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4F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4F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4F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4F4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4F4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4F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4F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4F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4F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4F4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4F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4F4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4F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4F4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4F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4F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4F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4F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4F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4F4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524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975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351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981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242</Words>
  <Characters>1279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Giri, Atanu</dc:creator>
  <cp:keywords/>
  <dc:description/>
  <cp:lastModifiedBy>Giri, Atanu</cp:lastModifiedBy>
  <cp:revision>6</cp:revision>
  <dcterms:created xsi:type="dcterms:W3CDTF">2025-06-06T06:49:00Z</dcterms:created>
  <dcterms:modified xsi:type="dcterms:W3CDTF">2025-06-06T07:29:00Z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73649dc-6fee-4eb8-a128-734c3c842ea8_Enabled">
    <vt:lpwstr>true</vt:lpwstr>
  </property>
  <property fmtid="{D5CDD505-2E9C-101B-9397-08002B2CF9AE}" pid="3" name="MSIP_Label_b73649dc-6fee-4eb8-a128-734c3c842ea8_SetDate">
    <vt:lpwstr>2025-06-06T06:49:45Z</vt:lpwstr>
  </property>
  <property fmtid="{D5CDD505-2E9C-101B-9397-08002B2CF9AE}" pid="4" name="MSIP_Label_b73649dc-6fee-4eb8-a128-734c3c842ea8_Method">
    <vt:lpwstr>Standard</vt:lpwstr>
  </property>
  <property fmtid="{D5CDD505-2E9C-101B-9397-08002B2CF9AE}" pid="5" name="MSIP_Label_b73649dc-6fee-4eb8-a128-734c3c842ea8_Name">
    <vt:lpwstr>defa4170-0d19-0005-0004-bc88714345d2</vt:lpwstr>
  </property>
  <property fmtid="{D5CDD505-2E9C-101B-9397-08002B2CF9AE}" pid="6" name="MSIP_Label_b73649dc-6fee-4eb8-a128-734c3c842ea8_SiteId">
    <vt:lpwstr>857c21d2-1a16-43a4-90cf-d57f3fab9d2f</vt:lpwstr>
  </property>
  <property fmtid="{D5CDD505-2E9C-101B-9397-08002B2CF9AE}" pid="7" name="MSIP_Label_b73649dc-6fee-4eb8-a128-734c3c842ea8_ActionId">
    <vt:lpwstr>89ce34cc-8ac4-4ce1-80eb-b1ffc99f26f6</vt:lpwstr>
  </property>
  <property fmtid="{D5CDD505-2E9C-101B-9397-08002B2CF9AE}" pid="8" name="MSIP_Label_b73649dc-6fee-4eb8-a128-734c3c842ea8_ContentBits">
    <vt:lpwstr>0</vt:lpwstr>
  </property>
  <property fmtid="{D5CDD505-2E9C-101B-9397-08002B2CF9AE}" pid="9" name="MSIP_Label_b73649dc-6fee-4eb8-a128-734c3c842ea8_Tag">
    <vt:lpwstr>50, 3, 0, 1</vt:lpwstr>
  </property>
</Properties>
</file>