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9579" w14:textId="77777777" w:rsidR="005C77FA" w:rsidRPr="005C77FA" w:rsidRDefault="005C77FA" w:rsidP="005C77FA">
      <w:pPr>
        <w:pStyle w:val="NormalWeb"/>
        <w:jc w:val="both"/>
        <w:rPr>
          <w:b/>
          <w:bCs/>
          <w:color w:val="000000"/>
        </w:rPr>
      </w:pPr>
      <w:r w:rsidRPr="005C77FA">
        <w:rPr>
          <w:b/>
          <w:bCs/>
          <w:color w:val="000000"/>
        </w:rPr>
        <w:t>Data Acquisition and Preprocessing</w:t>
      </w:r>
    </w:p>
    <w:p w14:paraId="6BEF05CA" w14:textId="77777777" w:rsidR="005C77FA" w:rsidRPr="005C77FA" w:rsidRDefault="005C77FA" w:rsidP="005C77FA">
      <w:pPr>
        <w:pStyle w:val="NormalWeb"/>
        <w:jc w:val="both"/>
        <w:rPr>
          <w:color w:val="000000"/>
        </w:rPr>
      </w:pPr>
      <w:r w:rsidRPr="005C77FA">
        <w:rPr>
          <w:color w:val="000000"/>
        </w:rPr>
        <w:t>Publicly available gene expression and clinical metadata were obtained from two independent sources. The gene expression matrix, containing normalized expression values for 8,863 genes, was downloaded as a CSV file from a curated dataset on Kaggle provided by Mahdieh Hajian et al. Clinical metadata, including demographic, pathological, and survival information for patients with stomach adenocarcinoma (STAD), was retrieved from The Cancer Genome Atlas (TCGA) via the Genomic Data Commons (GDC) portal.</w:t>
      </w:r>
    </w:p>
    <w:p w14:paraId="4BBE177C" w14:textId="531996D6" w:rsidR="005C77FA" w:rsidRPr="005C77FA" w:rsidRDefault="005C77FA" w:rsidP="005C77FA">
      <w:pPr>
        <w:pStyle w:val="NormalWeb"/>
        <w:jc w:val="both"/>
        <w:rPr>
          <w:color w:val="000000"/>
        </w:rPr>
      </w:pPr>
      <w:r w:rsidRPr="005C77FA">
        <w:rPr>
          <w:color w:val="000000"/>
        </w:rPr>
        <w:t>Molecular subtype classifications (CIN, EBV, GS, MSI) were obtained separately from the TCGA Pan-Cancer Atlas database and merged using sample identifiers.</w:t>
      </w:r>
      <w:r>
        <w:rPr>
          <w:color w:val="000000"/>
        </w:rPr>
        <w:t xml:space="preserve"> </w:t>
      </w:r>
      <w:r w:rsidRPr="005C77FA">
        <w:rPr>
          <w:color w:val="000000"/>
        </w:rPr>
        <w:t>Only samples common to the expression and clinical datasets were retained. The final metadata table included key variables such as age, race, sex, tumor stage, survival outcomes, and molecular subtype.</w:t>
      </w:r>
    </w:p>
    <w:p w14:paraId="1BC31EE8" w14:textId="77777777" w:rsidR="00A85BD6" w:rsidRPr="00A85BD6" w:rsidRDefault="00A85BD6" w:rsidP="00A85BD6">
      <w:pPr>
        <w:pStyle w:val="NormalWeb"/>
        <w:jc w:val="both"/>
        <w:rPr>
          <w:b/>
          <w:bCs/>
          <w:color w:val="000000"/>
        </w:rPr>
      </w:pPr>
      <w:r w:rsidRPr="00A85BD6">
        <w:rPr>
          <w:b/>
          <w:bCs/>
          <w:color w:val="000000"/>
        </w:rPr>
        <w:t>Data Integration</w:t>
      </w:r>
    </w:p>
    <w:p w14:paraId="27856D32" w14:textId="4D805944" w:rsidR="00A85BD6" w:rsidRPr="00A85BD6" w:rsidRDefault="00A85BD6" w:rsidP="00A85BD6">
      <w:pPr>
        <w:pStyle w:val="NormalWeb"/>
        <w:jc w:val="both"/>
        <w:rPr>
          <w:color w:val="000000"/>
        </w:rPr>
      </w:pPr>
      <w:r w:rsidRPr="00A85BD6">
        <w:rPr>
          <w:color w:val="000000"/>
        </w:rPr>
        <w:t xml:space="preserve">After preprocessing, gene expression values were merged with clinical metadata using sample IDs as the linking key. For analyses involving individual genes, such as CD36, the expression vector was extracted and appended as a column to the clinical </w:t>
      </w:r>
      <w:r w:rsidR="005C77FA" w:rsidRPr="00A85BD6">
        <w:rPr>
          <w:color w:val="000000"/>
        </w:rPr>
        <w:t>Data Frame</w:t>
      </w:r>
      <w:r w:rsidRPr="00A85BD6">
        <w:rPr>
          <w:color w:val="000000"/>
        </w:rPr>
        <w:t xml:space="preserve">. The resulting merged </w:t>
      </w:r>
      <w:r w:rsidR="005C77FA" w:rsidRPr="00A85BD6">
        <w:rPr>
          <w:color w:val="000000"/>
        </w:rPr>
        <w:t>Data Frame</w:t>
      </w:r>
      <w:r w:rsidRPr="00A85BD6">
        <w:rPr>
          <w:color w:val="000000"/>
        </w:rPr>
        <w:t xml:space="preserve"> was used for all downstream analyses.</w:t>
      </w:r>
    </w:p>
    <w:p w14:paraId="44BAD282" w14:textId="77777777" w:rsidR="00A85BD6" w:rsidRPr="00A85BD6" w:rsidRDefault="00A85BD6" w:rsidP="00A85BD6">
      <w:pPr>
        <w:pStyle w:val="NormalWeb"/>
        <w:jc w:val="both"/>
        <w:rPr>
          <w:b/>
          <w:bCs/>
          <w:color w:val="000000"/>
        </w:rPr>
      </w:pPr>
      <w:r w:rsidRPr="00A85BD6">
        <w:rPr>
          <w:b/>
          <w:bCs/>
          <w:color w:val="000000"/>
        </w:rPr>
        <w:t>Expression-Based Group Comparisons</w:t>
      </w:r>
    </w:p>
    <w:p w14:paraId="4E2A99AC" w14:textId="5D14E76C" w:rsidR="00A85BD6" w:rsidRPr="00A85BD6" w:rsidRDefault="00A85BD6" w:rsidP="00A85BD6">
      <w:pPr>
        <w:pStyle w:val="NormalWeb"/>
        <w:jc w:val="both"/>
        <w:rPr>
          <w:color w:val="000000"/>
        </w:rPr>
      </w:pPr>
      <w:r w:rsidRPr="00A85BD6">
        <w:rPr>
          <w:color w:val="000000"/>
        </w:rPr>
        <w:t xml:space="preserve">To compare expression levels of specific genes across clinical subgroups (e.g., race, molecular subtype, biopsy site), grouped </w:t>
      </w:r>
      <w:r w:rsidR="00064A13" w:rsidRPr="00A85BD6">
        <w:rPr>
          <w:color w:val="000000"/>
        </w:rPr>
        <w:t>bar plots</w:t>
      </w:r>
      <w:r w:rsidRPr="00A85BD6">
        <w:rPr>
          <w:color w:val="000000"/>
        </w:rPr>
        <w:t xml:space="preserve"> and boxplots were generated using Seaborn and Matplotlib. For binary group comparisons, unpaired two-sided Welch’s t-tests were used. When comparing more than two groups, one-way ANOVA was applied</w:t>
      </w:r>
      <w:r w:rsidR="00064A13">
        <w:rPr>
          <w:color w:val="000000"/>
        </w:rPr>
        <w:t xml:space="preserve">. </w:t>
      </w:r>
      <w:r w:rsidRPr="00A85BD6">
        <w:rPr>
          <w:color w:val="000000"/>
        </w:rPr>
        <w:t>Volcano plots were also generated to identify genes differentially expressed between outcome groups (e.g., Alive vs. Deceased), based on log</w:t>
      </w:r>
      <w:r w:rsidR="00064A13" w:rsidRPr="00064A13">
        <w:rPr>
          <w:color w:val="000000"/>
          <w:vertAlign w:val="subscript"/>
        </w:rPr>
        <w:t>2</w:t>
      </w:r>
      <w:r w:rsidRPr="00A85BD6">
        <w:rPr>
          <w:color w:val="000000"/>
        </w:rPr>
        <w:t xml:space="preserve"> fold change and t-test p-values. Benjamini–Hochberg false discovery rate (FDR) correction was optionally applied.</w:t>
      </w:r>
    </w:p>
    <w:p w14:paraId="53562A29" w14:textId="77777777" w:rsidR="00A85BD6" w:rsidRPr="00A85BD6" w:rsidRDefault="00A85BD6" w:rsidP="00A85BD6">
      <w:pPr>
        <w:pStyle w:val="NormalWeb"/>
        <w:jc w:val="both"/>
        <w:rPr>
          <w:b/>
          <w:bCs/>
          <w:color w:val="000000"/>
        </w:rPr>
      </w:pPr>
      <w:r w:rsidRPr="00A85BD6">
        <w:rPr>
          <w:b/>
          <w:bCs/>
          <w:color w:val="000000"/>
        </w:rPr>
        <w:t>Survival Analysis</w:t>
      </w:r>
    </w:p>
    <w:p w14:paraId="2B9C3618" w14:textId="15EA9015" w:rsidR="00A85BD6" w:rsidRPr="00A85BD6" w:rsidRDefault="00A85BD6" w:rsidP="00A85BD6">
      <w:pPr>
        <w:pStyle w:val="NormalWeb"/>
        <w:jc w:val="both"/>
        <w:rPr>
          <w:color w:val="000000"/>
        </w:rPr>
      </w:pPr>
      <w:r w:rsidRPr="00A85BD6">
        <w:rPr>
          <w:color w:val="000000"/>
        </w:rPr>
        <w:t>Survival analysis was performed to assess the prognostic significance of gene expression levels. For Kaplan–Meier (KM) survival curves, patients were dichotomized into “high” and “low” expression groups using the median gene expression as the cutoff. Overall survival time (in months) and status (alive</w:t>
      </w:r>
      <w:r w:rsidR="004B689E">
        <w:rPr>
          <w:color w:val="000000"/>
        </w:rPr>
        <w:t>,</w:t>
      </w:r>
      <w:r w:rsidRPr="00A85BD6">
        <w:rPr>
          <w:color w:val="000000"/>
        </w:rPr>
        <w:t xml:space="preserve"> deceased) were obtained from the clinical dataset. KM curves were plotted using the lifelines Python package, and statistical significance was assessed using the log-rank test.</w:t>
      </w:r>
    </w:p>
    <w:p w14:paraId="22D41056" w14:textId="77777777" w:rsidR="00A85BD6" w:rsidRPr="00A85BD6" w:rsidRDefault="00A85BD6" w:rsidP="00A85BD6">
      <w:pPr>
        <w:pStyle w:val="NormalWeb"/>
        <w:jc w:val="both"/>
        <w:rPr>
          <w:color w:val="000000"/>
        </w:rPr>
      </w:pPr>
      <w:r w:rsidRPr="00A85BD6">
        <w:rPr>
          <w:color w:val="000000"/>
        </w:rPr>
        <w:t>In addition, Cox proportional hazards models were used to estimate the effect of gene expression on survival, adjusting for relevant covariates (e.g., age, tumor stage, sex). Hazard ratios (HR) and 95% confidence intervals were reported. All statistical analyses were performed in Python, and significance was determined at p &lt; 0.05 unless otherwise specified.</w:t>
      </w:r>
    </w:p>
    <w:p w14:paraId="71305234" w14:textId="77777777" w:rsidR="00A85BD6" w:rsidRDefault="00A85BD6" w:rsidP="00A85BD6">
      <w:pPr>
        <w:pStyle w:val="NormalWeb"/>
        <w:jc w:val="both"/>
        <w:rPr>
          <w:color w:val="000000"/>
        </w:rPr>
      </w:pPr>
    </w:p>
    <w:p w14:paraId="03641543" w14:textId="3E80E079" w:rsidR="00791352" w:rsidRDefault="00A85BD6" w:rsidP="00A85BD6">
      <w:pPr>
        <w:pStyle w:val="NormalWeb"/>
        <w:jc w:val="both"/>
      </w:pPr>
      <w:r w:rsidRPr="00B24E51">
        <w:rPr>
          <w:color w:val="000000"/>
        </w:rPr>
        <w:lastRenderedPageBreak/>
        <w:t>All code and analysis for this manuscript are available at: </w:t>
      </w:r>
      <w:hyperlink r:id="rId4" w:tgtFrame="_new" w:history="1">
        <w:r w:rsidRPr="00B24E51">
          <w:rPr>
            <w:rStyle w:val="Hyperlink"/>
          </w:rPr>
          <w:t>https://github.com/atanugiri/gastric-cancer</w:t>
        </w:r>
      </w:hyperlink>
    </w:p>
    <w:p w14:paraId="546BE623" w14:textId="28D75F10" w:rsidR="00B94DF3" w:rsidRPr="00A85BD6" w:rsidRDefault="00B94DF3" w:rsidP="00B94DF3">
      <w:pPr>
        <w:pStyle w:val="NormalWeb"/>
        <w:rPr>
          <w:color w:val="000000"/>
        </w:rPr>
      </w:pPr>
      <w:r w:rsidRPr="00B94DF3">
        <w:rPr>
          <w:color w:val="000000"/>
        </w:rPr>
        <w:t>Ref:</w:t>
      </w:r>
      <w:r>
        <w:rPr>
          <w:color w:val="000000"/>
        </w:rPr>
        <w:t xml:space="preserve"> </w:t>
      </w:r>
      <w:r w:rsidRPr="00B94DF3">
        <w:rPr>
          <w:color w:val="000000"/>
        </w:rPr>
        <w:t xml:space="preserve">Hajian, M. (2022). </w:t>
      </w:r>
      <w:r w:rsidRPr="00B94DF3">
        <w:rPr>
          <w:i/>
          <w:iCs/>
          <w:color w:val="000000"/>
        </w:rPr>
        <w:t>Gene Expression in Gastric Cancer</w:t>
      </w:r>
      <w:r w:rsidRPr="00B94DF3">
        <w:rPr>
          <w:color w:val="000000"/>
        </w:rPr>
        <w:t>. Kaggle. https://www.kaggle.com/datasets/mahdiehhajian/gene-expression-in-gastric-cancer</w:t>
      </w:r>
    </w:p>
    <w:sectPr w:rsidR="00B94DF3" w:rsidRPr="00A85B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BD6"/>
    <w:rsid w:val="00064A13"/>
    <w:rsid w:val="00207D77"/>
    <w:rsid w:val="004B689E"/>
    <w:rsid w:val="005939EF"/>
    <w:rsid w:val="005C77FA"/>
    <w:rsid w:val="00791352"/>
    <w:rsid w:val="007F25EF"/>
    <w:rsid w:val="00A85BD6"/>
    <w:rsid w:val="00B94DF3"/>
    <w:rsid w:val="00DA2628"/>
    <w:rsid w:val="00E21D41"/>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4:docId w14:val="376C895F"/>
  <w15:chartTrackingRefBased/>
  <w15:docId w15:val="{BF2B4E8F-6E6A-3E45-9372-769DEDE2B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B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5B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B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B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B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B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B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B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B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B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5B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5B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B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B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BD6"/>
    <w:rPr>
      <w:rFonts w:eastAsiaTheme="majorEastAsia" w:cstheme="majorBidi"/>
      <w:color w:val="272727" w:themeColor="text1" w:themeTint="D8"/>
    </w:rPr>
  </w:style>
  <w:style w:type="paragraph" w:styleId="Title">
    <w:name w:val="Title"/>
    <w:basedOn w:val="Normal"/>
    <w:next w:val="Normal"/>
    <w:link w:val="TitleChar"/>
    <w:uiPriority w:val="10"/>
    <w:qFormat/>
    <w:rsid w:val="00A85B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B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B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5BD6"/>
    <w:rPr>
      <w:i/>
      <w:iCs/>
      <w:color w:val="404040" w:themeColor="text1" w:themeTint="BF"/>
    </w:rPr>
  </w:style>
  <w:style w:type="paragraph" w:styleId="ListParagraph">
    <w:name w:val="List Paragraph"/>
    <w:basedOn w:val="Normal"/>
    <w:uiPriority w:val="34"/>
    <w:qFormat/>
    <w:rsid w:val="00A85BD6"/>
    <w:pPr>
      <w:ind w:left="720"/>
      <w:contextualSpacing/>
    </w:pPr>
  </w:style>
  <w:style w:type="character" w:styleId="IntenseEmphasis">
    <w:name w:val="Intense Emphasis"/>
    <w:basedOn w:val="DefaultParagraphFont"/>
    <w:uiPriority w:val="21"/>
    <w:qFormat/>
    <w:rsid w:val="00A85BD6"/>
    <w:rPr>
      <w:i/>
      <w:iCs/>
      <w:color w:val="0F4761" w:themeColor="accent1" w:themeShade="BF"/>
    </w:rPr>
  </w:style>
  <w:style w:type="paragraph" w:styleId="IntenseQuote">
    <w:name w:val="Intense Quote"/>
    <w:basedOn w:val="Normal"/>
    <w:next w:val="Normal"/>
    <w:link w:val="IntenseQuoteChar"/>
    <w:uiPriority w:val="30"/>
    <w:qFormat/>
    <w:rsid w:val="00A85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BD6"/>
    <w:rPr>
      <w:i/>
      <w:iCs/>
      <w:color w:val="0F4761" w:themeColor="accent1" w:themeShade="BF"/>
    </w:rPr>
  </w:style>
  <w:style w:type="character" w:styleId="IntenseReference">
    <w:name w:val="Intense Reference"/>
    <w:basedOn w:val="DefaultParagraphFont"/>
    <w:uiPriority w:val="32"/>
    <w:qFormat/>
    <w:rsid w:val="00A85BD6"/>
    <w:rPr>
      <w:b/>
      <w:bCs/>
      <w:smallCaps/>
      <w:color w:val="0F4761" w:themeColor="accent1" w:themeShade="BF"/>
      <w:spacing w:val="5"/>
    </w:rPr>
  </w:style>
  <w:style w:type="paragraph" w:styleId="NormalWeb">
    <w:name w:val="Normal (Web)"/>
    <w:basedOn w:val="Normal"/>
    <w:uiPriority w:val="99"/>
    <w:unhideWhenUsed/>
    <w:rsid w:val="00A85BD6"/>
    <w:pPr>
      <w:spacing w:before="100" w:beforeAutospacing="1" w:after="100" w:afterAutospacing="1"/>
    </w:pPr>
    <w:rPr>
      <w:rFonts w:ascii="Times New Roman" w:eastAsia="Times New Roman" w:hAnsi="Times New Roman" w:cs="Times New Roman"/>
      <w:kern w:val="0"/>
      <w:lang w:bidi="bn-IN"/>
      <w14:ligatures w14:val="none"/>
    </w:rPr>
  </w:style>
  <w:style w:type="character" w:styleId="Hyperlink">
    <w:name w:val="Hyperlink"/>
    <w:basedOn w:val="DefaultParagraphFont"/>
    <w:uiPriority w:val="99"/>
    <w:unhideWhenUsed/>
    <w:rsid w:val="00A85BD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10536">
      <w:bodyDiv w:val="1"/>
      <w:marLeft w:val="0"/>
      <w:marRight w:val="0"/>
      <w:marTop w:val="0"/>
      <w:marBottom w:val="0"/>
      <w:divBdr>
        <w:top w:val="none" w:sz="0" w:space="0" w:color="auto"/>
        <w:left w:val="none" w:sz="0" w:space="0" w:color="auto"/>
        <w:bottom w:val="none" w:sz="0" w:space="0" w:color="auto"/>
        <w:right w:val="none" w:sz="0" w:space="0" w:color="auto"/>
      </w:divBdr>
    </w:div>
    <w:div w:id="672152254">
      <w:bodyDiv w:val="1"/>
      <w:marLeft w:val="0"/>
      <w:marRight w:val="0"/>
      <w:marTop w:val="0"/>
      <w:marBottom w:val="0"/>
      <w:divBdr>
        <w:top w:val="none" w:sz="0" w:space="0" w:color="auto"/>
        <w:left w:val="none" w:sz="0" w:space="0" w:color="auto"/>
        <w:bottom w:val="none" w:sz="0" w:space="0" w:color="auto"/>
        <w:right w:val="none" w:sz="0" w:space="0" w:color="auto"/>
      </w:divBdr>
    </w:div>
    <w:div w:id="892428098">
      <w:bodyDiv w:val="1"/>
      <w:marLeft w:val="0"/>
      <w:marRight w:val="0"/>
      <w:marTop w:val="0"/>
      <w:marBottom w:val="0"/>
      <w:divBdr>
        <w:top w:val="none" w:sz="0" w:space="0" w:color="auto"/>
        <w:left w:val="none" w:sz="0" w:space="0" w:color="auto"/>
        <w:bottom w:val="none" w:sz="0" w:space="0" w:color="auto"/>
        <w:right w:val="none" w:sz="0" w:space="0" w:color="auto"/>
      </w:divBdr>
    </w:div>
    <w:div w:id="920717758">
      <w:bodyDiv w:val="1"/>
      <w:marLeft w:val="0"/>
      <w:marRight w:val="0"/>
      <w:marTop w:val="0"/>
      <w:marBottom w:val="0"/>
      <w:divBdr>
        <w:top w:val="none" w:sz="0" w:space="0" w:color="auto"/>
        <w:left w:val="none" w:sz="0" w:space="0" w:color="auto"/>
        <w:bottom w:val="none" w:sz="0" w:space="0" w:color="auto"/>
        <w:right w:val="none" w:sz="0" w:space="0" w:color="auto"/>
      </w:divBdr>
    </w:div>
    <w:div w:id="1749690125">
      <w:bodyDiv w:val="1"/>
      <w:marLeft w:val="0"/>
      <w:marRight w:val="0"/>
      <w:marTop w:val="0"/>
      <w:marBottom w:val="0"/>
      <w:divBdr>
        <w:top w:val="none" w:sz="0" w:space="0" w:color="auto"/>
        <w:left w:val="none" w:sz="0" w:space="0" w:color="auto"/>
        <w:bottom w:val="none" w:sz="0" w:space="0" w:color="auto"/>
        <w:right w:val="none" w:sz="0" w:space="0" w:color="auto"/>
      </w:divBdr>
    </w:div>
    <w:div w:id="1980303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atanugiri/gastric-canc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426</Words>
  <Characters>2626</Characters>
  <Application>Microsoft Office Word</Application>
  <DocSecurity>0</DocSecurity>
  <Lines>39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 Atanu</dc:creator>
  <cp:keywords/>
  <dc:description/>
  <cp:lastModifiedBy>Giri, Atanu</cp:lastModifiedBy>
  <cp:revision>7</cp:revision>
  <dcterms:created xsi:type="dcterms:W3CDTF">2025-06-06T04:53:00Z</dcterms:created>
  <dcterms:modified xsi:type="dcterms:W3CDTF">2025-06-06T05:15:00Z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3649dc-6fee-4eb8-a128-734c3c842ea8_Enabled">
    <vt:lpwstr>true</vt:lpwstr>
  </property>
  <property fmtid="{D5CDD505-2E9C-101B-9397-08002B2CF9AE}" pid="3" name="MSIP_Label_b73649dc-6fee-4eb8-a128-734c3c842ea8_SetDate">
    <vt:lpwstr>2025-06-06T04:53:59Z</vt:lpwstr>
  </property>
  <property fmtid="{D5CDD505-2E9C-101B-9397-08002B2CF9AE}" pid="4" name="MSIP_Label_b73649dc-6fee-4eb8-a128-734c3c842ea8_Method">
    <vt:lpwstr>Standard</vt:lpwstr>
  </property>
  <property fmtid="{D5CDD505-2E9C-101B-9397-08002B2CF9AE}" pid="5" name="MSIP_Label_b73649dc-6fee-4eb8-a128-734c3c842ea8_Name">
    <vt:lpwstr>defa4170-0d19-0005-0004-bc88714345d2</vt:lpwstr>
  </property>
  <property fmtid="{D5CDD505-2E9C-101B-9397-08002B2CF9AE}" pid="6" name="MSIP_Label_b73649dc-6fee-4eb8-a128-734c3c842ea8_SiteId">
    <vt:lpwstr>857c21d2-1a16-43a4-90cf-d57f3fab9d2f</vt:lpwstr>
  </property>
  <property fmtid="{D5CDD505-2E9C-101B-9397-08002B2CF9AE}" pid="7" name="MSIP_Label_b73649dc-6fee-4eb8-a128-734c3c842ea8_ActionId">
    <vt:lpwstr>92ab1828-ee6f-49ef-b774-85af22651021</vt:lpwstr>
  </property>
  <property fmtid="{D5CDD505-2E9C-101B-9397-08002B2CF9AE}" pid="8" name="MSIP_Label_b73649dc-6fee-4eb8-a128-734c3c842ea8_ContentBits">
    <vt:lpwstr>0</vt:lpwstr>
  </property>
  <property fmtid="{D5CDD505-2E9C-101B-9397-08002B2CF9AE}" pid="9" name="MSIP_Label_b73649dc-6fee-4eb8-a128-734c3c842ea8_Tag">
    <vt:lpwstr>50, 3, 0, 1</vt:lpwstr>
  </property>
</Properties>
</file>