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1EA6" w14:textId="0BD70E72" w:rsidR="00B52817" w:rsidRDefault="00B52817" w:rsidP="00B3720C">
      <w:pPr>
        <w:pStyle w:val="NormalWeb"/>
        <w:jc w:val="both"/>
        <w:rPr>
          <w:color w:val="000000"/>
        </w:rPr>
      </w:pPr>
      <w:r w:rsidRPr="00B52817">
        <w:rPr>
          <w:color w:val="000000"/>
        </w:rPr>
        <w:t>Gene expression data were obtained from the publicly available Kaggle dataset</w:t>
      </w:r>
      <w:r>
        <w:rPr>
          <w:color w:val="000000"/>
        </w:rPr>
        <w:t xml:space="preserve"> (</w:t>
      </w:r>
      <w:r w:rsidRPr="00B52817">
        <w:rPr>
          <w:color w:val="000000"/>
        </w:rPr>
        <w:t>expression profile</w:t>
      </w:r>
      <w:r w:rsidR="00B3720C">
        <w:rPr>
          <w:color w:val="000000"/>
        </w:rPr>
        <w:t xml:space="preserve"> </w:t>
      </w:r>
      <w:r w:rsidRPr="00B52817">
        <w:rPr>
          <w:color w:val="000000"/>
        </w:rPr>
        <w:t>(8863 genes).csv</w:t>
      </w:r>
      <w:r>
        <w:rPr>
          <w:color w:val="000000"/>
        </w:rPr>
        <w:t xml:space="preserve">). </w:t>
      </w:r>
      <w:r>
        <w:rPr>
          <w:color w:val="000000"/>
        </w:rPr>
        <w:t xml:space="preserve">This dataset contains expression profiles for 8,863 genes across 623 gastric cancer samples. Clinical annotations were retrieved from the TCGA GDC clinical dataset </w:t>
      </w:r>
      <w:r w:rsidRPr="00B52817">
        <w:rPr>
          <w:color w:val="000000"/>
        </w:rPr>
        <w:t>(</w:t>
      </w:r>
      <w:proofErr w:type="spellStart"/>
      <w:r w:rsidRPr="00B52817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tcga_gdc_clinical_data.tsv</w:t>
      </w:r>
      <w:proofErr w:type="spellEnd"/>
      <w:r w:rsidRPr="00B52817">
        <w:rPr>
          <w:color w:val="000000"/>
        </w:rPr>
        <w:t>)</w:t>
      </w:r>
      <w:r>
        <w:rPr>
          <w:color w:val="000000"/>
        </w:rPr>
        <w:t>, which includes clinical features for 443 samples. Merging these two datasets by sample ID resulted in 413 samples with both transcriptomic and clinical data.</w:t>
      </w:r>
    </w:p>
    <w:p w14:paraId="47DCA16B" w14:textId="77777777" w:rsidR="00B52817" w:rsidRDefault="00B52817" w:rsidP="00B3720C">
      <w:pPr>
        <w:pStyle w:val="NormalWeb"/>
        <w:jc w:val="both"/>
        <w:rPr>
          <w:color w:val="000000"/>
        </w:rPr>
      </w:pPr>
      <w:r>
        <w:rPr>
          <w:color w:val="000000"/>
        </w:rPr>
        <w:t>Among the 413 patients:</w:t>
      </w:r>
    </w:p>
    <w:p w14:paraId="76295AE9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Survival status</w:t>
      </w:r>
      <w:r>
        <w:rPr>
          <w:color w:val="000000"/>
        </w:rPr>
        <w:t>: 249 were alive, 163 deceased, and 1 had missing survival information.</w:t>
      </w:r>
    </w:p>
    <w:p w14:paraId="2B91A311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Overall survival</w:t>
      </w:r>
      <w:r>
        <w:rPr>
          <w:color w:val="000000"/>
        </w:rPr>
        <w:t>: Mean survival time was 18.75 months (±17.45 SD).</w:t>
      </w:r>
    </w:p>
    <w:p w14:paraId="0D2997C6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Sex distribution</w:t>
      </w:r>
      <w:r>
        <w:rPr>
          <w:color w:val="000000"/>
        </w:rPr>
        <w:t>: 267 male and 146 female patients.</w:t>
      </w:r>
    </w:p>
    <w:p w14:paraId="0FB03D2E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Race distribution</w:t>
      </w:r>
      <w:r>
        <w:rPr>
          <w:color w:val="000000"/>
        </w:rPr>
        <w:t xml:space="preserve">: 259 White, 86 Asian, 12 Black or African American, 1 Native Hawaiian or </w:t>
      </w:r>
      <w:proofErr w:type="gramStart"/>
      <w:r>
        <w:rPr>
          <w:color w:val="000000"/>
        </w:rPr>
        <w:t>other</w:t>
      </w:r>
      <w:proofErr w:type="gramEnd"/>
      <w:r>
        <w:rPr>
          <w:color w:val="000000"/>
        </w:rPr>
        <w:t xml:space="preserve"> Pacific Islander, and 55 with unreported race.</w:t>
      </w:r>
    </w:p>
    <w:p w14:paraId="7727D4AA" w14:textId="4AAAE436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Pathological stage</w:t>
      </w:r>
      <w:r>
        <w:rPr>
          <w:color w:val="000000"/>
        </w:rPr>
        <w:t xml:space="preserve">: </w:t>
      </w:r>
      <w:r>
        <w:rPr>
          <w:color w:val="000000"/>
        </w:rPr>
        <w:t>S</w:t>
      </w:r>
      <w:r>
        <w:rPr>
          <w:color w:val="000000"/>
        </w:rPr>
        <w:t xml:space="preserve">tages included 58 Stage I, 121 Stage II, 168 Stage III, 41 Stage IV, and 25 </w:t>
      </w:r>
      <w:r>
        <w:rPr>
          <w:color w:val="000000"/>
        </w:rPr>
        <w:t>unknowns</w:t>
      </w:r>
      <w:r>
        <w:rPr>
          <w:color w:val="000000"/>
        </w:rPr>
        <w:t>.</w:t>
      </w:r>
    </w:p>
    <w:p w14:paraId="4E167E7C" w14:textId="77777777" w:rsidR="00B52817" w:rsidRDefault="00B52817" w:rsidP="00B3720C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For molecular subtype analysis, we used annotations from the TCGA Pan-Cancer Atlas </w:t>
      </w:r>
      <w:r w:rsidRPr="00B3720C">
        <w:rPr>
          <w:color w:val="000000"/>
        </w:rPr>
        <w:t>(</w:t>
      </w:r>
      <w:r w:rsidRPr="00B3720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tcga_pan_can_atlas_2018_clinical_data.tsv</w:t>
      </w:r>
      <w:r w:rsidRPr="00B3720C">
        <w:rPr>
          <w:color w:val="000000"/>
        </w:rPr>
        <w:t xml:space="preserve">), </w:t>
      </w:r>
      <w:r>
        <w:rPr>
          <w:color w:val="000000"/>
        </w:rPr>
        <w:t>which contains subtype classifications for 440 gastric cancer samples. Merging with the expression dataset yielded 410 samples with both expression and subtype data. The subtype distribution was as follows:</w:t>
      </w:r>
    </w:p>
    <w:p w14:paraId="4FFF3722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Chromosomal Instability (CIN)</w:t>
      </w:r>
      <w:r>
        <w:rPr>
          <w:color w:val="000000"/>
        </w:rPr>
        <w:t>: 220 samples</w:t>
      </w:r>
    </w:p>
    <w:p w14:paraId="0CF2F643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Microsatellite Instability (MSI)</w:t>
      </w:r>
      <w:r>
        <w:rPr>
          <w:color w:val="000000"/>
        </w:rPr>
        <w:t>: 73 samples</w:t>
      </w:r>
    </w:p>
    <w:p w14:paraId="5FDE12D3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Genomically Stable (GS)</w:t>
      </w:r>
      <w:r>
        <w:rPr>
          <w:color w:val="000000"/>
        </w:rPr>
        <w:t>: 50 samples</w:t>
      </w:r>
    </w:p>
    <w:p w14:paraId="6585021D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Epstein–Barr Virus-positive (EBV)</w:t>
      </w:r>
      <w:r>
        <w:rPr>
          <w:color w:val="000000"/>
        </w:rPr>
        <w:t>: 30 samples</w:t>
      </w:r>
    </w:p>
    <w:p w14:paraId="3AAF0E18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bookmarkStart w:id="0" w:name="OLE_LINK1"/>
      <w:r>
        <w:rPr>
          <w:rStyle w:val="Strong"/>
          <w:rFonts w:eastAsiaTheme="majorEastAsia"/>
          <w:color w:val="000000"/>
        </w:rPr>
        <w:t>POLE-mutated</w:t>
      </w:r>
      <w:bookmarkEnd w:id="0"/>
      <w:r>
        <w:rPr>
          <w:color w:val="000000"/>
        </w:rPr>
        <w:t>: 7 samples</w:t>
      </w:r>
    </w:p>
    <w:p w14:paraId="2CFA80AF" w14:textId="5BCF67A1" w:rsidR="005A6DFF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Unknown subtype</w:t>
      </w:r>
      <w:r>
        <w:rPr>
          <w:color w:val="000000"/>
        </w:rPr>
        <w:t>: 30 samples</w:t>
      </w:r>
    </w:p>
    <w:p w14:paraId="238B8E04" w14:textId="21A20C56" w:rsidR="00B24E51" w:rsidRPr="00B3720C" w:rsidRDefault="00B24E51" w:rsidP="00B24E51">
      <w:pPr>
        <w:pStyle w:val="NormalWeb"/>
        <w:jc w:val="both"/>
        <w:rPr>
          <w:color w:val="000000"/>
        </w:rPr>
      </w:pPr>
      <w:r w:rsidRPr="00B24E51">
        <w:rPr>
          <w:color w:val="000000"/>
        </w:rPr>
        <w:t>All code and analysis for this manuscript are available at: </w:t>
      </w:r>
      <w:hyperlink r:id="rId5" w:tgtFrame="_new" w:history="1">
        <w:r w:rsidRPr="00B24E51">
          <w:rPr>
            <w:rStyle w:val="Hyperlink"/>
          </w:rPr>
          <w:t>https://github.com/atanugiri/gastric-cancer</w:t>
        </w:r>
      </w:hyperlink>
    </w:p>
    <w:sectPr w:rsidR="00B24E51" w:rsidRPr="00B37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3F2D"/>
    <w:multiLevelType w:val="hybridMultilevel"/>
    <w:tmpl w:val="550C2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E508C"/>
    <w:multiLevelType w:val="multilevel"/>
    <w:tmpl w:val="BC0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7D6F"/>
    <w:multiLevelType w:val="multilevel"/>
    <w:tmpl w:val="B34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81673"/>
    <w:multiLevelType w:val="hybridMultilevel"/>
    <w:tmpl w:val="657A5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35663"/>
    <w:multiLevelType w:val="multilevel"/>
    <w:tmpl w:val="CD4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33931">
    <w:abstractNumId w:val="1"/>
  </w:num>
  <w:num w:numId="2" w16cid:durableId="1645618221">
    <w:abstractNumId w:val="0"/>
  </w:num>
  <w:num w:numId="3" w16cid:durableId="1946188386">
    <w:abstractNumId w:val="3"/>
  </w:num>
  <w:num w:numId="4" w16cid:durableId="1522088616">
    <w:abstractNumId w:val="2"/>
  </w:num>
  <w:num w:numId="5" w16cid:durableId="426392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2D"/>
    <w:rsid w:val="00207D77"/>
    <w:rsid w:val="002E1A2D"/>
    <w:rsid w:val="0034436C"/>
    <w:rsid w:val="00376245"/>
    <w:rsid w:val="00482D80"/>
    <w:rsid w:val="00571353"/>
    <w:rsid w:val="005939EF"/>
    <w:rsid w:val="005A6DFF"/>
    <w:rsid w:val="005D175A"/>
    <w:rsid w:val="007523A3"/>
    <w:rsid w:val="00791352"/>
    <w:rsid w:val="00791952"/>
    <w:rsid w:val="007F25EF"/>
    <w:rsid w:val="00906F55"/>
    <w:rsid w:val="00961D39"/>
    <w:rsid w:val="00B24E51"/>
    <w:rsid w:val="00B34764"/>
    <w:rsid w:val="00B3720C"/>
    <w:rsid w:val="00B52817"/>
    <w:rsid w:val="00D2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C4373"/>
  <w15:chartTrackingRefBased/>
  <w15:docId w15:val="{554557A7-8A59-E14C-9B92-7E2C5439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1D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28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2817"/>
    <w:rPr>
      <w:b/>
      <w:bCs/>
    </w:rPr>
  </w:style>
  <w:style w:type="character" w:customStyle="1" w:styleId="apple-converted-space">
    <w:name w:val="apple-converted-space"/>
    <w:basedOn w:val="DefaultParagraphFont"/>
    <w:rsid w:val="00B52817"/>
  </w:style>
  <w:style w:type="character" w:styleId="Hyperlink">
    <w:name w:val="Hyperlink"/>
    <w:basedOn w:val="DefaultParagraphFont"/>
    <w:uiPriority w:val="99"/>
    <w:unhideWhenUsed/>
    <w:rsid w:val="00B24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tanugiri/gastric-canc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Giri, Atanu</dc:creator>
  <cp:keywords/>
  <dc:description/>
  <cp:lastModifiedBy>Giri, Atanu</cp:lastModifiedBy>
  <cp:revision>9</cp:revision>
  <dcterms:created xsi:type="dcterms:W3CDTF">2025-06-05T06:50:00Z</dcterms:created>
  <dcterms:modified xsi:type="dcterms:W3CDTF">2025-06-05T17:31:00Z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2025-06-05T06:51:04Z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78c4466b-4928-46eb-b31c-fb633c1f4972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