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9e8da6be35ca53751deac518c0bce996129fa1"/>
    <w:p>
      <w:pPr>
        <w:pStyle w:val="Heading1"/>
      </w:pPr>
      <w:r>
        <w:t xml:space="preserve">Revue contradictoire du DDD stratégique — Écosystème de livraison</w:t>
      </w:r>
    </w:p>
    <w:p>
      <w:pPr>
        <w:pStyle w:val="FirstParagraph"/>
      </w:pPr>
      <w:r>
        <w:rPr>
          <w:b/>
          <w:bCs/>
        </w:rPr>
        <w:t xml:space="preserve">Document 3A — Validation du modèle DDD stratégique</w:t>
      </w:r>
      <w:r>
        <w:br/>
      </w:r>
      <w:r>
        <w:rPr>
          <w:b/>
          <w:bCs/>
        </w:rPr>
        <w:t xml:space="preserve">Version : 0.1</w:t>
      </w:r>
      <w:r>
        <w:br/>
      </w:r>
      <w:r>
        <w:rPr>
          <w:b/>
          <w:bCs/>
        </w:rPr>
        <w:t xml:space="preserve">Date : 25 août 2026</w:t>
      </w:r>
      <w:r>
        <w:br/>
      </w:r>
      <w:r>
        <w:rPr>
          <w:b/>
          <w:bCs/>
        </w:rPr>
        <w:t xml:space="preserve">Statut : BASELINE DE VALIDATION</w:t>
      </w:r>
      <w:r>
        <w:br/>
      </w:r>
      <w:r>
        <w:rPr>
          <w:b/>
          <w:bCs/>
        </w:rPr>
        <w:t xml:space="preserve">Entrée principale : DDD stratégique v0.1</w:t>
      </w:r>
    </w:p>
    <w:p>
      <w:r>
        <w:pict>
          <v:rect style="width:0;height:1.5pt" o:hralign="center" o:hrstd="t" o:hr="t"/>
        </w:pict>
      </w:r>
    </w:p>
    <w:bookmarkStart w:id="20" w:name="objet"/>
    <w:p>
      <w:pPr>
        <w:pStyle w:val="Heading2"/>
      </w:pPr>
      <w:r>
        <w:t xml:space="preserve">0. Objet</w:t>
      </w:r>
    </w:p>
    <w:p>
      <w:pPr>
        <w:pStyle w:val="FirstParagraph"/>
      </w:pPr>
      <w:r>
        <w:t xml:space="preserve">Cette revue contradictoire teste le DDD stratégique v0.1 contre les scénarios métier structurants déjà consolidés.</w:t>
      </w:r>
    </w:p>
    <w:p>
      <w:pPr>
        <w:pStyle w:val="BodyText"/>
      </w:pPr>
      <w:r>
        <w:t xml:space="preserve">L’objectif n’est pas de produire une nouvelle architecture, mais de vérifier :</w:t>
      </w:r>
    </w:p>
    <w:p>
      <w:pPr>
        <w:pStyle w:val="Compact"/>
        <w:numPr>
          <w:ilvl w:val="0"/>
          <w:numId w:val="1001"/>
        </w:numPr>
      </w:pPr>
      <w:r>
        <w:t xml:space="preserve">que les responsabilités métier ont un propriétaire clair ;</w:t>
      </w:r>
    </w:p>
    <w:p>
      <w:pPr>
        <w:pStyle w:val="Compact"/>
        <w:numPr>
          <w:ilvl w:val="0"/>
          <w:numId w:val="1001"/>
        </w:numPr>
      </w:pPr>
      <w:r>
        <w:t xml:space="preserve">que les frontières de contexte sont cohérentes ;</w:t>
      </w:r>
    </w:p>
    <w:p>
      <w:pPr>
        <w:pStyle w:val="Compact"/>
        <w:numPr>
          <w:ilvl w:val="0"/>
          <w:numId w:val="1001"/>
        </w:numPr>
      </w:pPr>
      <w:r>
        <w:t xml:space="preserve">que les interactions entre contextes ne créent pas de confusion ;</w:t>
      </w:r>
    </w:p>
    <w:p>
      <w:pPr>
        <w:pStyle w:val="Compact"/>
        <w:numPr>
          <w:ilvl w:val="0"/>
          <w:numId w:val="1001"/>
        </w:numPr>
      </w:pPr>
      <w:r>
        <w:t xml:space="preserve">que les invariants critiques restent vrais dans les cas normaux et exceptionnels ;</w:t>
      </w:r>
    </w:p>
    <w:p>
      <w:pPr>
        <w:pStyle w:val="Compact"/>
        <w:numPr>
          <w:ilvl w:val="0"/>
          <w:numId w:val="1001"/>
        </w:numPr>
      </w:pPr>
      <w:r>
        <w:t xml:space="preserve">que le candidat Core Domain résiste aux scénarios réels ;</w:t>
      </w:r>
    </w:p>
    <w:p>
      <w:pPr>
        <w:pStyle w:val="Compact"/>
        <w:numPr>
          <w:ilvl w:val="0"/>
          <w:numId w:val="1001"/>
        </w:numPr>
      </w:pPr>
      <w:r>
        <w:t xml:space="preserve">que les concepts ambigus sont explicitement identifiés avant le DDD tactique.</w:t>
      </w:r>
    </w:p>
    <w:p>
      <w:pPr>
        <w:pStyle w:val="FirstParagraph"/>
      </w:pPr>
      <w:r>
        <w:t xml:space="preserve">Le résultat de cette revue ne constitue pas encore une architecture technique.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éthode-de-revue"/>
    <w:p>
      <w:pPr>
        <w:pStyle w:val="Heading1"/>
      </w:pPr>
      <w:r>
        <w:t xml:space="preserve">1. Méthode de revue</w:t>
      </w:r>
    </w:p>
    <w:p>
      <w:pPr>
        <w:pStyle w:val="FirstParagraph"/>
      </w:pPr>
      <w:r>
        <w:t xml:space="preserve">Chaque scénario est évalué selon cinq axes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Déclencheur</w:t>
      </w:r>
      <w:r>
        <w:t xml:space="preserve"> </w:t>
      </w:r>
      <w:r>
        <w:t xml:space="preserve">— quel besoin ou événement démarre le scénario 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Propriétaire métier</w:t>
      </w:r>
      <w:r>
        <w:t xml:space="preserve"> </w:t>
      </w:r>
      <w:r>
        <w:t xml:space="preserve">— quel contexte possède la règle principale 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Contextes impliqués</w:t>
      </w:r>
      <w:r>
        <w:t xml:space="preserve"> </w:t>
      </w:r>
      <w:r>
        <w:t xml:space="preserve">— quels autres contextes collaborent 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Invariant critique</w:t>
      </w:r>
      <w:r>
        <w:t xml:space="preserve"> </w:t>
      </w:r>
      <w:r>
        <w:t xml:space="preserve">— quelle règle ne doit jamais être violée 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Ambiguïté résiduelle</w:t>
      </w:r>
      <w:r>
        <w:t xml:space="preserve"> </w:t>
      </w:r>
      <w:r>
        <w:t xml:space="preserve">— qu’est-ce qui doit encore être tranché ?</w:t>
      </w:r>
    </w:p>
    <w:p>
      <w:pPr>
        <w:pStyle w:val="FirstParagraph"/>
      </w:pPr>
      <w:r>
        <w:t xml:space="preserve">Statuts utilisés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VALIDÉ</w:t>
      </w:r>
      <w:r>
        <w:t xml:space="preserve"> </w:t>
      </w:r>
      <w:r>
        <w:t xml:space="preserve">— la frontière actuelle explique correctement le scénario.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À AFFINER</w:t>
      </w:r>
      <w:r>
        <w:t xml:space="preserve"> </w:t>
      </w:r>
      <w:r>
        <w:t xml:space="preserve">— la frontière est plausible mais nécessite une règle plus précise.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CONTRADICTION</w:t>
      </w:r>
      <w:r>
        <w:t xml:space="preserve"> </w:t>
      </w:r>
      <w:r>
        <w:t xml:space="preserve">— le modèle actuel crée une responsabilité incohérente.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HYPOTHÈSE</w:t>
      </w:r>
      <w:r>
        <w:t xml:space="preserve"> </w:t>
      </w:r>
      <w:r>
        <w:t xml:space="preserve">— le scénario dépend d’une hypothèse terrain encore non démontrée.</w:t>
      </w:r>
    </w:p>
    <w:p>
      <w:r>
        <w:pict>
          <v:rect style="width:0;height:1.5pt" o:hralign="center" o:hrstd="t" o:hr="t"/>
        </w:pict>
      </w:r>
    </w:p>
    <w:bookmarkEnd w:id="22"/>
    <w:bookmarkStart w:id="27" w:name="X64939bde40e521ba88e9b89fbbad2b59437cf53"/>
    <w:p>
      <w:pPr>
        <w:pStyle w:val="Heading1"/>
      </w:pPr>
      <w:r>
        <w:t xml:space="preserve">2. Scénario S01 — Création puis complétion d’une mission</w:t>
      </w:r>
    </w:p>
    <w:bookmarkStart w:id="23" w:name="déroulement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Demande</w:t>
      </w:r>
      <w:r>
        <w:br/>
      </w:r>
      <w:r>
        <w:rPr>
          <w:rStyle w:val="VerbatimChar"/>
        </w:rPr>
        <w:t xml:space="preserve">  → Mission créée</w:t>
      </w:r>
      <w:r>
        <w:br/>
      </w:r>
      <w:r>
        <w:rPr>
          <w:rStyle w:val="VerbatimChar"/>
        </w:rPr>
        <w:t xml:space="preserve">  → Informations manquantes</w:t>
      </w:r>
      <w:r>
        <w:br/>
      </w:r>
      <w:r>
        <w:rPr>
          <w:rStyle w:val="VerbatimChar"/>
        </w:rPr>
        <w:t xml:space="preserve">  → Mission complétée</w:t>
      </w:r>
      <w:r>
        <w:br/>
      </w:r>
      <w:r>
        <w:rPr>
          <w:rStyle w:val="VerbatimChar"/>
        </w:rPr>
        <w:t xml:space="preserve">  → Mission prête</w:t>
      </w:r>
    </w:p>
    <w:bookmarkEnd w:id="23"/>
    <w:bookmarkStart w:id="24" w:name="analyse"/>
    <w:p>
      <w:pPr>
        <w:pStyle w:val="Heading3"/>
      </w:pPr>
      <w:r>
        <w:t xml:space="preserve">Analyse</w:t>
      </w:r>
    </w:p>
    <w:p>
      <w:pPr>
        <w:pStyle w:val="FirstParagraph"/>
      </w:pPr>
      <w:r>
        <w:rPr>
          <w:b/>
          <w:bCs/>
        </w:rPr>
        <w:t xml:space="preserve">Propriétaire :</w:t>
      </w:r>
      <w:r>
        <w:t xml:space="preserve"> </w:t>
      </w:r>
      <w:r>
        <w:t xml:space="preserve">Mission Orchestration.</w:t>
      </w:r>
    </w:p>
    <w:p>
      <w:pPr>
        <w:pStyle w:val="BodyText"/>
      </w:pPr>
      <w:r>
        <w:rPr>
          <w:b/>
          <w:bCs/>
        </w:rPr>
        <w:t xml:space="preserve">Contexte impliqué :</w:t>
      </w:r>
      <w:r>
        <w:t xml:space="preserve"> </w:t>
      </w:r>
      <w:r>
        <w:t xml:space="preserve">Identity &amp; Organization pour l’identité et les droits.</w:t>
      </w:r>
    </w:p>
    <w:p>
      <w:pPr>
        <w:pStyle w:val="BodyText"/>
      </w:pPr>
      <w:r>
        <w:rPr>
          <w:b/>
          <w:bCs/>
        </w:rPr>
        <w:t xml:space="preserve">Invariant :</w:t>
      </w:r>
      <w:r>
        <w:t xml:space="preserve"> </w:t>
      </w:r>
      <w:r>
        <w:t xml:space="preserve">une mission créée n’est pas exécutable tant que les informations critiques ne sont pas suffisantes.</w:t>
      </w:r>
    </w:p>
    <w:bookmarkEnd w:id="24"/>
    <w:bookmarkStart w:id="25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p>
      <w:pPr>
        <w:pStyle w:val="BodyText"/>
      </w:pPr>
      <w:r>
        <w:t xml:space="preserve">La séparation entre création, complétion et préparation est nécessaire. Elle évite de transformer une intention partiellement renseignée en ordre d’exécution.</w:t>
      </w:r>
    </w:p>
    <w:bookmarkEnd w:id="25"/>
    <w:bookmarkStart w:id="26" w:name="décision"/>
    <w:p>
      <w:pPr>
        <w:pStyle w:val="Heading3"/>
      </w:pPr>
      <w:r>
        <w:t xml:space="preserve">Décision</w:t>
      </w:r>
    </w:p>
    <w:p>
      <w:pPr>
        <w:pStyle w:val="FirstParagraph"/>
      </w:pPr>
      <w:r>
        <w:rPr>
          <w:rStyle w:val="VerbatimChar"/>
        </w:rPr>
        <w:t xml:space="preserve">Mission Orchestration</w:t>
      </w:r>
      <w:r>
        <w:t xml:space="preserve"> </w:t>
      </w:r>
      <w:r>
        <w:t xml:space="preserve">reste propriétaire du cycle de vie de la mission.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6198cf02cca6b9552f1bd7e90e8dad9729153ed"/>
    <w:p>
      <w:pPr>
        <w:pStyle w:val="Heading1"/>
      </w:pPr>
      <w:r>
        <w:t xml:space="preserve">3. Scénario S02 — Publication d’une mission ouverte</w:t>
      </w:r>
    </w:p>
    <w:bookmarkStart w:id="28" w:name="déroulement-1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Mission prête</w:t>
      </w:r>
      <w:r>
        <w:br/>
      </w:r>
      <w:r>
        <w:rPr>
          <w:rStyle w:val="VerbatimChar"/>
        </w:rPr>
        <w:t xml:space="preserve">  → Ouverture</w:t>
      </w:r>
      <w:r>
        <w:br/>
      </w:r>
      <w:r>
        <w:rPr>
          <w:rStyle w:val="VerbatimChar"/>
        </w:rPr>
        <w:t xml:space="preserve">  → Recherche de capacités éligibles</w:t>
      </w:r>
      <w:r>
        <w:br/>
      </w:r>
      <w:r>
        <w:rPr>
          <w:rStyle w:val="VerbatimChar"/>
        </w:rPr>
        <w:t xml:space="preserve">  → Exposition</w:t>
      </w:r>
    </w:p>
    <w:bookmarkEnd w:id="28"/>
    <w:bookmarkStart w:id="29" w:name="analyse-1"/>
    <w:p>
      <w:pPr>
        <w:pStyle w:val="Heading3"/>
      </w:pPr>
      <w:r>
        <w:t xml:space="preserve">Analyse</w:t>
      </w:r>
    </w:p>
    <w:p>
      <w:pPr>
        <w:pStyle w:val="FirstParagraph"/>
      </w:pPr>
      <w:r>
        <w:rPr>
          <w:b/>
          <w:bCs/>
        </w:rPr>
        <w:t xml:space="preserve">Propriétaire :</w:t>
      </w:r>
      <w:r>
        <w:t xml:space="preserve"> </w:t>
      </w:r>
      <w:r>
        <w:t xml:space="preserve">Capacity Exchange pour l’exposition et l’éligibilité.</w:t>
      </w:r>
    </w:p>
    <w:p>
      <w:pPr>
        <w:pStyle w:val="BodyText"/>
      </w:pPr>
      <w:r>
        <w:rPr>
          <w:b/>
          <w:bCs/>
        </w:rPr>
        <w:t xml:space="preserve">Source :</w:t>
      </w:r>
      <w:r>
        <w:t xml:space="preserve"> </w:t>
      </w:r>
      <w:r>
        <w:t xml:space="preserve">Mission Orchestration.</w:t>
      </w:r>
    </w:p>
    <w:p>
      <w:pPr>
        <w:pStyle w:val="BodyText"/>
      </w:pPr>
      <w:r>
        <w:rPr>
          <w:b/>
          <w:bCs/>
        </w:rPr>
        <w:t xml:space="preserve">Dépendances :</w:t>
      </w:r>
      <w:r>
        <w:t xml:space="preserve"> </w:t>
      </w:r>
      <w:r>
        <w:t xml:space="preserve">- Capacity &amp; Availability</w:t>
      </w:r>
      <w:r>
        <w:t xml:space="preserve"> </w:t>
      </w:r>
      <w:r>
        <w:t xml:space="preserve">- Location &amp; Journey</w:t>
      </w:r>
      <w:r>
        <w:t xml:space="preserve"> </w:t>
      </w:r>
      <w:r>
        <w:t xml:space="preserve">- règles d’organisation et d’autorisation</w:t>
      </w:r>
    </w:p>
    <w:bookmarkEnd w:id="29"/>
    <w:bookmarkStart w:id="30" w:name="point-critique"/>
    <w:p>
      <w:pPr>
        <w:pStyle w:val="Heading3"/>
      </w:pPr>
      <w:r>
        <w:t xml:space="preserve">Point critique</w:t>
      </w:r>
    </w:p>
    <w:p>
      <w:pPr>
        <w:pStyle w:val="FirstParagraph"/>
      </w:pPr>
      <w:r>
        <w:rPr>
          <w:rStyle w:val="VerbatimChar"/>
        </w:rPr>
        <w:t xml:space="preserve">Mission Orchestration</w:t>
      </w:r>
      <w:r>
        <w:t xml:space="preserve"> </w:t>
      </w:r>
      <w:r>
        <w:t xml:space="preserve">ne doit pas décider elle-même quelle capacité est éligible.</w:t>
      </w:r>
    </w:p>
    <w:p>
      <w:pPr>
        <w:pStyle w:val="BodyText"/>
      </w:pPr>
      <w:r>
        <w:t xml:space="preserve">Il doit exprimer le besoin.</w:t>
      </w:r>
    </w:p>
    <w:p>
      <w:pPr>
        <w:pStyle w:val="BodyText"/>
      </w:pPr>
      <w:r>
        <w:rPr>
          <w:rStyle w:val="VerbatimChar"/>
        </w:rPr>
        <w:t xml:space="preserve">Capacity Exchange</w:t>
      </w:r>
      <w:r>
        <w:t xml:space="preserve"> </w:t>
      </w:r>
      <w:r>
        <w:t xml:space="preserve">transforme ce besoin en opportunité d’échange.</w:t>
      </w:r>
    </w:p>
    <w:bookmarkEnd w:id="30"/>
    <w:bookmarkStart w:id="31" w:name="verdict-1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p>
      <w:pPr>
        <w:pStyle w:val="BodyText"/>
      </w:pPr>
      <w:r>
        <w:t xml:space="preserve">Cette séparation renforce la pertinence du candidat Core Domain.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1b4c3fbd30ae97469ac78b27186dd05d6ab82dc"/>
    <w:p>
      <w:pPr>
        <w:pStyle w:val="Heading1"/>
      </w:pPr>
      <w:r>
        <w:t xml:space="preserve">4. Scénario S03 — Mission adressée directement à une capacité</w:t>
      </w:r>
    </w:p>
    <w:bookmarkStart w:id="33" w:name="déroulement-2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Mission prête</w:t>
      </w:r>
      <w:r>
        <w:br/>
      </w:r>
      <w:r>
        <w:rPr>
          <w:rStyle w:val="VerbatimChar"/>
        </w:rPr>
        <w:t xml:space="preserve">  → Capacité ciblée</w:t>
      </w:r>
      <w:r>
        <w:br/>
      </w:r>
      <w:r>
        <w:rPr>
          <w:rStyle w:val="VerbatimChar"/>
        </w:rPr>
        <w:t xml:space="preserve">  → Proposition</w:t>
      </w:r>
      <w:r>
        <w:br/>
      </w:r>
      <w:r>
        <w:rPr>
          <w:rStyle w:val="VerbatimChar"/>
        </w:rPr>
        <w:t xml:space="preserve">  → Acceptation / refus</w:t>
      </w:r>
    </w:p>
    <w:bookmarkEnd w:id="33"/>
    <w:bookmarkStart w:id="34" w:name="analyse-2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Ce scénario ne doit pas contourner Capacity Exchange.</w:t>
      </w:r>
    </w:p>
    <w:p>
      <w:pPr>
        <w:pStyle w:val="BodyText"/>
      </w:pPr>
      <w:r>
        <w:t xml:space="preserve">Même lorsque la demande vise directement un acteur, il existe toujours une logique d’engagement de capacité.</w:t>
      </w:r>
    </w:p>
    <w:bookmarkEnd w:id="34"/>
    <w:bookmarkStart w:id="35" w:name="verdict-2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 AVEC AFFINEMENT.</w:t>
      </w:r>
    </w:p>
    <w:bookmarkEnd w:id="35"/>
    <w:bookmarkStart w:id="36" w:name="règle-à-ajouter"/>
    <w:p>
      <w:pPr>
        <w:pStyle w:val="Heading3"/>
      </w:pPr>
      <w:r>
        <w:t xml:space="preserve">Règle à ajouter</w:t>
      </w:r>
    </w:p>
    <w:p>
      <w:pPr>
        <w:pStyle w:val="FirstParagraph"/>
      </w:pPr>
      <w:r>
        <w:t xml:space="preserve">Une mission adressée directement peut utiliser un chemin d’exposition restreint, mais l’acceptation et l’engagement restent gouvernés par le modèle d’échange de capacité.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dfa719c3f7b78490fa50fd206440d266178faaa"/>
    <w:p>
      <w:pPr>
        <w:pStyle w:val="Heading1"/>
      </w:pPr>
      <w:r>
        <w:t xml:space="preserve">5. Scénario S04 — Délégation inter-organisationnelle</w:t>
      </w:r>
    </w:p>
    <w:bookmarkStart w:id="38" w:name="déroulement-3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Organisation A</w:t>
      </w:r>
      <w:r>
        <w:br/>
      </w:r>
      <w:r>
        <w:rPr>
          <w:rStyle w:val="VerbatimChar"/>
        </w:rPr>
        <w:t xml:space="preserve">  → demande une capacité externe</w:t>
      </w:r>
      <w:r>
        <w:br/>
      </w:r>
      <w:r>
        <w:rPr>
          <w:rStyle w:val="VerbatimChar"/>
        </w:rPr>
        <w:t xml:space="preserve">  → opportunité d'échange</w:t>
      </w:r>
      <w:r>
        <w:br/>
      </w:r>
      <w:r>
        <w:rPr>
          <w:rStyle w:val="VerbatimChar"/>
        </w:rPr>
        <w:t xml:space="preserve">  → Organisation B / opérateur</w:t>
      </w:r>
      <w:r>
        <w:br/>
      </w:r>
      <w:r>
        <w:rPr>
          <w:rStyle w:val="VerbatimChar"/>
        </w:rPr>
        <w:t xml:space="preserve">  → acceptation</w:t>
      </w:r>
      <w:r>
        <w:br/>
      </w:r>
      <w:r>
        <w:rPr>
          <w:rStyle w:val="VerbatimChar"/>
        </w:rPr>
        <w:t xml:space="preserve">  → exécution</w:t>
      </w:r>
    </w:p>
    <w:bookmarkEnd w:id="38"/>
    <w:bookmarkStart w:id="39" w:name="analyse-3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La délégation n’est pas un changement automatique de titulaire.</w:t>
      </w:r>
    </w:p>
    <w:p>
      <w:pPr>
        <w:pStyle w:val="BodyText"/>
      </w:pPr>
      <w:r>
        <w:t xml:space="preserve">Elle est une</w:t>
      </w:r>
      <w:r>
        <w:t xml:space="preserve"> </w:t>
      </w:r>
      <w:r>
        <w:rPr>
          <w:b/>
          <w:bCs/>
        </w:rPr>
        <w:t xml:space="preserve">modalité d’engagement d’une capacité externe</w:t>
      </w:r>
      <w:r>
        <w:t xml:space="preserve">.</w:t>
      </w:r>
    </w:p>
    <w:bookmarkEnd w:id="39"/>
    <w:bookmarkStart w:id="40" w:name="propriétaires"/>
    <w:p>
      <w:pPr>
        <w:pStyle w:val="Heading3"/>
      </w:pPr>
      <w:r>
        <w:t xml:space="preserve">Propriétaires</w:t>
      </w:r>
    </w:p>
    <w:p>
      <w:pPr>
        <w:pStyle w:val="Compact"/>
        <w:numPr>
          <w:ilvl w:val="0"/>
          <w:numId w:val="1004"/>
        </w:numPr>
      </w:pPr>
      <w:r>
        <w:t xml:space="preserve">Mission Orchestration : état de la mission et titulaire.</w:t>
      </w:r>
    </w:p>
    <w:p>
      <w:pPr>
        <w:pStyle w:val="Compact"/>
        <w:numPr>
          <w:ilvl w:val="0"/>
          <w:numId w:val="1004"/>
        </w:numPr>
      </w:pPr>
      <w:r>
        <w:t xml:space="preserve">Capacity Exchange : recherche, proposition, engagement et délégation.</w:t>
      </w:r>
    </w:p>
    <w:p>
      <w:pPr>
        <w:pStyle w:val="Compact"/>
        <w:numPr>
          <w:ilvl w:val="0"/>
          <w:numId w:val="1004"/>
        </w:numPr>
      </w:pPr>
      <w:r>
        <w:t xml:space="preserve">Execution &amp; Custody : exécution physique.</w:t>
      </w:r>
    </w:p>
    <w:bookmarkEnd w:id="40"/>
    <w:bookmarkStart w:id="41" w:name="verdict-3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bookmarkEnd w:id="41"/>
    <w:bookmarkStart w:id="42" w:name="décision-ddd-p05"/>
    <w:p>
      <w:pPr>
        <w:pStyle w:val="Heading3"/>
      </w:pPr>
      <w:r>
        <w:t xml:space="preserve">Décision DDD-P05</w:t>
      </w:r>
    </w:p>
    <w:p>
      <w:pPr>
        <w:pStyle w:val="FirstParagraph"/>
      </w:pPr>
      <w:r>
        <w:t xml:space="preserve">La délégation est modélisée comme une capacité d’échange inter-organisationnelle et non comme un transfert automatique de propriété de mission.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c000f69d91c3004c53939f91cfbeb215db70129"/>
    <w:p>
      <w:pPr>
        <w:pStyle w:val="Heading1"/>
      </w:pPr>
      <w:r>
        <w:t xml:space="preserve">6. Scénario S05 — Capacité indisponible après proposition</w:t>
      </w:r>
    </w:p>
    <w:bookmarkStart w:id="44" w:name="déroulement-4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Capacité disponible</w:t>
      </w:r>
      <w:r>
        <w:br/>
      </w:r>
      <w:r>
        <w:rPr>
          <w:rStyle w:val="VerbatimChar"/>
        </w:rPr>
        <w:t xml:space="preserve">  → proposition</w:t>
      </w:r>
      <w:r>
        <w:br/>
      </w:r>
      <w:r>
        <w:rPr>
          <w:rStyle w:val="VerbatimChar"/>
        </w:rPr>
        <w:t xml:space="preserve">  → capacité devient indisponible</w:t>
      </w:r>
      <w:r>
        <w:br/>
      </w:r>
      <w:r>
        <w:rPr>
          <w:rStyle w:val="VerbatimChar"/>
        </w:rPr>
        <w:t xml:space="preserve">  → proposition invalidée / refusée</w:t>
      </w:r>
      <w:r>
        <w:br/>
      </w:r>
      <w:r>
        <w:rPr>
          <w:rStyle w:val="VerbatimChar"/>
        </w:rPr>
        <w:t xml:space="preserve">  → nouvelle recherche</w:t>
      </w:r>
    </w:p>
    <w:bookmarkEnd w:id="44"/>
    <w:bookmarkStart w:id="45" w:name="analyse-4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Le modèle actuel révèle ici une nécessité :</w:t>
      </w:r>
    </w:p>
    <w:p>
      <w:pPr>
        <w:pStyle w:val="BodyText"/>
      </w:pPr>
      <w:r>
        <w:rPr>
          <w:rStyle w:val="VerbatimChar"/>
        </w:rPr>
        <w:t xml:space="preserve">Capacity &amp; Availability</w:t>
      </w:r>
      <w:r>
        <w:t xml:space="preserve"> </w:t>
      </w:r>
      <w:r>
        <w:t xml:space="preserve">possède la vérité sur la disponibilité.</w:t>
      </w:r>
    </w:p>
    <w:p>
      <w:pPr>
        <w:pStyle w:val="BodyText"/>
      </w:pPr>
      <w:r>
        <w:rPr>
          <w:rStyle w:val="VerbatimChar"/>
        </w:rPr>
        <w:t xml:space="preserve">Capacity Exchange</w:t>
      </w:r>
      <w:r>
        <w:t xml:space="preserve"> </w:t>
      </w:r>
      <w:r>
        <w:t xml:space="preserve">possède la vérité sur l’engagement d’une capacité dans une opportunité.</w:t>
      </w:r>
    </w:p>
    <w:bookmarkEnd w:id="45"/>
    <w:bookmarkStart w:id="46" w:name="verdict-4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À AFFINER.</w:t>
      </w:r>
    </w:p>
    <w:bookmarkEnd w:id="46"/>
    <w:bookmarkStart w:id="47" w:name="décision-de-modélisation"/>
    <w:p>
      <w:pPr>
        <w:pStyle w:val="Heading3"/>
      </w:pPr>
      <w:r>
        <w:t xml:space="preserve">Décision de modélisation</w:t>
      </w:r>
    </w:p>
    <w:p>
      <w:pPr>
        <w:pStyle w:val="FirstParagraph"/>
      </w:pPr>
      <w:r>
        <w:t xml:space="preserve">Il faut distinguer :</w:t>
      </w:r>
    </w:p>
    <w:p>
      <w:pPr>
        <w:pStyle w:val="SourceCode"/>
      </w:pP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Éligibilité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Prise en charge</w:t>
      </w:r>
    </w:p>
    <w:p>
      <w:pPr>
        <w:pStyle w:val="FirstParagraph"/>
      </w:pPr>
      <w:r>
        <w:t xml:space="preserve">Cette distinction devient un invariant stratégique supplémentaire.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908b11339fc3196de925b88fe960eaad5be4bfd"/>
    <w:p>
      <w:pPr>
        <w:pStyle w:val="Heading1"/>
      </w:pPr>
      <w:r>
        <w:t xml:space="preserve">7. Scénario S06 — Acceptation sans prise en charge</w:t>
      </w:r>
    </w:p>
    <w:bookmarkStart w:id="49" w:name="déroulement-5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Mission acceptée</w:t>
      </w:r>
      <w:r>
        <w:br/>
      </w:r>
      <w:r>
        <w:rPr>
          <w:rStyle w:val="VerbatimChar"/>
        </w:rPr>
        <w:t xml:space="preserve">  → déplacement / préparation</w:t>
      </w:r>
      <w:r>
        <w:br/>
      </w:r>
      <w:r>
        <w:rPr>
          <w:rStyle w:val="VerbatimChar"/>
        </w:rPr>
        <w:t xml:space="preserve">  → colis pas encore reçu</w:t>
      </w:r>
    </w:p>
    <w:bookmarkEnd w:id="49"/>
    <w:bookmarkStart w:id="50" w:name="analyse-5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La mission peut être acceptée sans que la garde physique commence.</w:t>
      </w:r>
    </w:p>
    <w:bookmarkEnd w:id="50"/>
    <w:bookmarkStart w:id="51" w:name="verdict-5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bookmarkEnd w:id="51"/>
    <w:bookmarkStart w:id="52" w:name="invariant-confirmé"/>
    <w:p>
      <w:pPr>
        <w:pStyle w:val="Heading3"/>
      </w:pPr>
      <w:r>
        <w:t xml:space="preserve">Invariant confirmé</w:t>
      </w:r>
    </w:p>
    <w:p>
      <w:pPr>
        <w:pStyle w:val="BlockText"/>
      </w:pPr>
      <w:r>
        <w:t xml:space="preserve">Acceptation ou attribution ≠ prise en charge physique.</w:t>
      </w:r>
    </w:p>
    <w:p>
      <w:pPr>
        <w:pStyle w:val="FirstParagraph"/>
      </w:pPr>
      <w:r>
        <w:t xml:space="preserve">C’est un invariant structurel du domaine et non un simple détail d’interface.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8cfb411159bb4cbcba3eec778061f69dd839bbe"/>
    <w:p>
      <w:pPr>
        <w:pStyle w:val="Heading1"/>
      </w:pPr>
      <w:r>
        <w:t xml:space="preserve">8. Scénario S07 — Prise en charge avec anomalie</w:t>
      </w:r>
    </w:p>
    <w:bookmarkStart w:id="54" w:name="déroulement-6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Arrivée</w:t>
      </w:r>
      <w:r>
        <w:br/>
      </w:r>
      <w:r>
        <w:rPr>
          <w:rStyle w:val="VerbatimChar"/>
        </w:rPr>
        <w:t xml:space="preserve">  → constat d'état apparent</w:t>
      </w:r>
      <w:r>
        <w:br/>
      </w:r>
      <w:r>
        <w:rPr>
          <w:rStyle w:val="VerbatimChar"/>
        </w:rPr>
        <w:t xml:space="preserve">  → réserve</w:t>
      </w:r>
      <w:r>
        <w:br/>
      </w:r>
      <w:r>
        <w:rPr>
          <w:rStyle w:val="VerbatimChar"/>
        </w:rPr>
        <w:t xml:space="preserve">  → prise en charge confirmée avec anomalie</w:t>
      </w:r>
    </w:p>
    <w:bookmarkEnd w:id="54"/>
    <w:bookmarkStart w:id="55" w:name="analyse-6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Le modèle doit permettre une prise en charge et une réserve corrélées au même événement opérationnel.</w:t>
      </w:r>
    </w:p>
    <w:p>
      <w:pPr>
        <w:pStyle w:val="BodyText"/>
      </w:pPr>
      <w:r>
        <w:rPr>
          <w:rStyle w:val="VerbatimChar"/>
        </w:rPr>
        <w:t xml:space="preserve">Execution &amp; Custody</w:t>
      </w:r>
      <w:r>
        <w:t xml:space="preserve"> </w:t>
      </w:r>
      <w:r>
        <w:t xml:space="preserve">possède le fait opérationnel.</w:t>
      </w:r>
    </w:p>
    <w:p>
      <w:pPr>
        <w:pStyle w:val="BodyText"/>
      </w:pPr>
      <w:r>
        <w:rPr>
          <w:rStyle w:val="VerbatimChar"/>
        </w:rPr>
        <w:t xml:space="preserve">Trust &amp; Evidence</w:t>
      </w:r>
      <w:r>
        <w:t xml:space="preserve"> </w:t>
      </w:r>
      <w:r>
        <w:t xml:space="preserve">conserve la preuve et la traçabilité.</w:t>
      </w:r>
    </w:p>
    <w:bookmarkEnd w:id="55"/>
    <w:bookmarkStart w:id="56" w:name="verdict-6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bookmarkEnd w:id="56"/>
    <w:bookmarkStart w:id="57" w:name="point-à-préciser-en-ddd-tactique"/>
    <w:p>
      <w:pPr>
        <w:pStyle w:val="Heading3"/>
      </w:pPr>
      <w:r>
        <w:t xml:space="preserve">Point à préciser en DDD tactique</w:t>
      </w:r>
    </w:p>
    <w:p>
      <w:pPr>
        <w:pStyle w:val="FirstParagraph"/>
      </w:pPr>
      <w:r>
        <w:t xml:space="preserve">La réserve ne doit pas devenir un objet générique sans contexte.</w:t>
      </w:r>
    </w:p>
    <w:p>
      <w:pPr>
        <w:pStyle w:val="BodyText"/>
      </w:pPr>
      <w:r>
        <w:t xml:space="preserve">Elle doit être typée selon le contexte qui la produit.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scénario-s08-transfert-de-garde"/>
    <w:p>
      <w:pPr>
        <w:pStyle w:val="Heading1"/>
      </w:pPr>
      <w:r>
        <w:t xml:space="preserve">9. Scénario S08 — Transfert de garde</w:t>
      </w:r>
    </w:p>
    <w:bookmarkStart w:id="59" w:name="déroulement-7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Responsable A</w:t>
      </w:r>
      <w:r>
        <w:br/>
      </w:r>
      <w:r>
        <w:rPr>
          <w:rStyle w:val="VerbatimChar"/>
        </w:rPr>
        <w:t xml:space="preserve">  → remise</w:t>
      </w:r>
      <w:r>
        <w:br/>
      </w:r>
      <w:r>
        <w:rPr>
          <w:rStyle w:val="VerbatimChar"/>
        </w:rPr>
        <w:t xml:space="preserve">  → confirmation par B</w:t>
      </w:r>
      <w:r>
        <w:br/>
      </w:r>
      <w:r>
        <w:rPr>
          <w:rStyle w:val="VerbatimChar"/>
        </w:rPr>
        <w:t xml:space="preserve">  → garde B</w:t>
      </w:r>
    </w:p>
    <w:bookmarkEnd w:id="59"/>
    <w:bookmarkStart w:id="60" w:name="analyse-7"/>
    <w:p>
      <w:pPr>
        <w:pStyle w:val="Heading3"/>
      </w:pPr>
      <w:r>
        <w:t xml:space="preserve">Analyse</w:t>
      </w:r>
    </w:p>
    <w:p>
      <w:pPr>
        <w:pStyle w:val="FirstParagraph"/>
      </w:pPr>
      <w:r>
        <w:rPr>
          <w:rStyle w:val="VerbatimChar"/>
        </w:rPr>
        <w:t xml:space="preserve">Execution &amp; Custody</w:t>
      </w:r>
      <w:r>
        <w:t xml:space="preserve"> </w:t>
      </w:r>
      <w:r>
        <w:t xml:space="preserve">est le propriétaire du changement de garde.</w:t>
      </w:r>
    </w:p>
    <w:p>
      <w:pPr>
        <w:pStyle w:val="BodyText"/>
      </w:pPr>
      <w:r>
        <w:rPr>
          <w:rStyle w:val="VerbatimChar"/>
        </w:rPr>
        <w:t xml:space="preserve">Trust &amp; Evidence</w:t>
      </w:r>
      <w:r>
        <w:t xml:space="preserve"> </w:t>
      </w:r>
      <w:r>
        <w:t xml:space="preserve">conserve les éléments nécessaires à la reconstruction de l’historique.</w:t>
      </w:r>
    </w:p>
    <w:bookmarkEnd w:id="60"/>
    <w:bookmarkStart w:id="61" w:name="verdict-7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 FORTEMENT.</w:t>
      </w:r>
    </w:p>
    <w:p>
      <w:pPr>
        <w:pStyle w:val="BodyText"/>
      </w:pPr>
      <w:r>
        <w:t xml:space="preserve">Le modèle actuel résiste très bien à ce scénario.</w:t>
      </w:r>
    </w:p>
    <w:bookmarkEnd w:id="61"/>
    <w:bookmarkStart w:id="62" w:name="invariant"/>
    <w:p>
      <w:pPr>
        <w:pStyle w:val="Heading3"/>
      </w:pPr>
      <w:r>
        <w:t xml:space="preserve">Invariant</w:t>
      </w:r>
    </w:p>
    <w:p>
      <w:pPr>
        <w:pStyle w:val="BlockText"/>
      </w:pPr>
      <w:r>
        <w:t xml:space="preserve">Un transfert de garde n’existe métier qu’après confirmation du nouveau responsable physique.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81a896095369d865f0f6d5ac114eb349965f068"/>
    <w:p>
      <w:pPr>
        <w:pStyle w:val="Heading1"/>
      </w:pPr>
      <w:r>
        <w:t xml:space="preserve">10. Scénario S09 — Passage par un point relais / gare</w:t>
      </w:r>
    </w:p>
    <w:bookmarkStart w:id="64" w:name="déroulement-8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Opérateur A</w:t>
      </w:r>
      <w:r>
        <w:br/>
      </w:r>
      <w:r>
        <w:rPr>
          <w:rStyle w:val="VerbatimChar"/>
        </w:rPr>
        <w:t xml:space="preserve">  → point de transfert</w:t>
      </w:r>
      <w:r>
        <w:br/>
      </w:r>
      <w:r>
        <w:rPr>
          <w:rStyle w:val="VerbatimChar"/>
        </w:rPr>
        <w:t xml:space="preserve">  → dépôt</w:t>
      </w:r>
      <w:r>
        <w:br/>
      </w:r>
      <w:r>
        <w:rPr>
          <w:rStyle w:val="VerbatimChar"/>
        </w:rPr>
        <w:t xml:space="preserve">  → réception par B</w:t>
      </w:r>
      <w:r>
        <w:br/>
      </w:r>
      <w:r>
        <w:rPr>
          <w:rStyle w:val="VerbatimChar"/>
        </w:rPr>
        <w:t xml:space="preserve">  → reprise</w:t>
      </w:r>
    </w:p>
    <w:bookmarkEnd w:id="64"/>
    <w:bookmarkStart w:id="65" w:name="analyse-8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Ce scénario révèle une frontière importante entre :</w:t>
      </w:r>
    </w:p>
    <w:p>
      <w:pPr>
        <w:pStyle w:val="Compact"/>
        <w:numPr>
          <w:ilvl w:val="0"/>
          <w:numId w:val="1005"/>
        </w:numPr>
      </w:pPr>
      <w:r>
        <w:t xml:space="preserve">la représentation du lieu ;</w:t>
      </w:r>
    </w:p>
    <w:p>
      <w:pPr>
        <w:pStyle w:val="Compact"/>
        <w:numPr>
          <w:ilvl w:val="0"/>
          <w:numId w:val="1005"/>
        </w:numPr>
      </w:pPr>
      <w:r>
        <w:t xml:space="preserve">l’événement de garde ;</w:t>
      </w:r>
    </w:p>
    <w:p>
      <w:pPr>
        <w:pStyle w:val="Compact"/>
        <w:numPr>
          <w:ilvl w:val="0"/>
          <w:numId w:val="1005"/>
        </w:numPr>
      </w:pPr>
      <w:r>
        <w:t xml:space="preserve">l’étape de mission.</w:t>
      </w:r>
    </w:p>
    <w:p>
      <w:pPr>
        <w:pStyle w:val="FirstParagraph"/>
      </w:pPr>
      <w:r>
        <w:t xml:space="preserve">Le point relais n’est pas nécessairement un acteur d’exécution.</w:t>
      </w:r>
    </w:p>
    <w:bookmarkEnd w:id="65"/>
    <w:bookmarkStart w:id="66" w:name="verdict-8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À AFFINER.</w:t>
      </w:r>
    </w:p>
    <w:bookmarkEnd w:id="66"/>
    <w:bookmarkStart w:id="67" w:name="décision-provisoire"/>
    <w:p>
      <w:pPr>
        <w:pStyle w:val="Heading3"/>
      </w:pPr>
      <w:r>
        <w:t xml:space="preserve">Décision provisoire</w:t>
      </w:r>
    </w:p>
    <w:p>
      <w:pPr>
        <w:pStyle w:val="FirstParagraph"/>
      </w:pPr>
      <w:r>
        <w:rPr>
          <w:rStyle w:val="VerbatimChar"/>
        </w:rPr>
        <w:t xml:space="preserve">Location &amp; Journey</w:t>
      </w:r>
      <w:r>
        <w:t xml:space="preserve"> </w:t>
      </w:r>
      <w:r>
        <w:t xml:space="preserve">décrit le lieu et son rôle spatial.</w:t>
      </w:r>
    </w:p>
    <w:p>
      <w:pPr>
        <w:pStyle w:val="BodyText"/>
      </w:pPr>
      <w:r>
        <w:rPr>
          <w:rStyle w:val="VerbatimChar"/>
        </w:rPr>
        <w:t xml:space="preserve">Execution &amp; Custody</w:t>
      </w:r>
      <w:r>
        <w:t xml:space="preserve"> </w:t>
      </w:r>
      <w:r>
        <w:t xml:space="preserve">possède le transfert de garde.</w:t>
      </w:r>
    </w:p>
    <w:p>
      <w:pPr>
        <w:pStyle w:val="BodyText"/>
      </w:pPr>
      <w:r>
        <w:rPr>
          <w:rStyle w:val="VerbatimChar"/>
        </w:rPr>
        <w:t xml:space="preserve">Mission Orchestration</w:t>
      </w:r>
      <w:r>
        <w:t xml:space="preserve"> </w:t>
      </w:r>
      <w:r>
        <w:t xml:space="preserve">possède l’étape métier.</w:t>
      </w:r>
    </w:p>
    <w:p>
      <w:pPr>
        <w:pStyle w:val="BodyText"/>
      </w:pPr>
      <w:r>
        <w:t xml:space="preserve">Cela évite de faire du « relais » un contexte autonome prématurément.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8b4b8acec0044a025df2e8cf33a2ace6c735d4d"/>
    <w:p>
      <w:pPr>
        <w:pStyle w:val="Heading1"/>
      </w:pPr>
      <w:r>
        <w:t xml:space="preserve">11. Scénario S10 — Plusieurs missions sur un même trajet</w:t>
      </w:r>
    </w:p>
    <w:bookmarkStart w:id="69" w:name="déroulement-9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Capacité disponible</w:t>
      </w:r>
      <w:r>
        <w:br/>
      </w:r>
      <w:r>
        <w:rPr>
          <w:rStyle w:val="VerbatimChar"/>
        </w:rPr>
        <w:t xml:space="preserve">  → mission A</w:t>
      </w:r>
      <w:r>
        <w:br/>
      </w:r>
      <w:r>
        <w:rPr>
          <w:rStyle w:val="VerbatimChar"/>
        </w:rPr>
        <w:t xml:space="preserve">  → mission B</w:t>
      </w:r>
      <w:r>
        <w:br/>
      </w:r>
      <w:r>
        <w:rPr>
          <w:rStyle w:val="VerbatimChar"/>
        </w:rPr>
        <w:t xml:space="preserve">  → mission C</w:t>
      </w:r>
      <w:r>
        <w:br/>
      </w:r>
      <w:r>
        <w:rPr>
          <w:rStyle w:val="VerbatimChar"/>
        </w:rPr>
        <w:t xml:space="preserve">  → compatibilité de parcours</w:t>
      </w:r>
      <w:r>
        <w:br/>
      </w:r>
      <w:r>
        <w:rPr>
          <w:rStyle w:val="VerbatimChar"/>
        </w:rPr>
        <w:t xml:space="preserve">  → engagement</w:t>
      </w:r>
    </w:p>
    <w:bookmarkEnd w:id="69"/>
    <w:bookmarkStart w:id="70" w:name="analyse-9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C’est un scénario central pour la thèse stratégique.</w:t>
      </w:r>
    </w:p>
    <w:p>
      <w:pPr>
        <w:pStyle w:val="BodyText"/>
      </w:pPr>
      <w:r>
        <w:t xml:space="preserve">La valeur ne vient pas seulement de la proximité entre livreur et mission, mais de la capacité à reconnaître une compatibilité entre plusieurs contraintes.</w:t>
      </w:r>
    </w:p>
    <w:bookmarkEnd w:id="70"/>
    <w:bookmarkStart w:id="71" w:name="propriétaires-1"/>
    <w:p>
      <w:pPr>
        <w:pStyle w:val="Heading3"/>
      </w:pPr>
      <w:r>
        <w:t xml:space="preserve">Propriétaires</w:t>
      </w:r>
    </w:p>
    <w:p>
      <w:pPr>
        <w:pStyle w:val="Compact"/>
        <w:numPr>
          <w:ilvl w:val="0"/>
          <w:numId w:val="1006"/>
        </w:numPr>
      </w:pPr>
      <w:r>
        <w:t xml:space="preserve">Capacity Exchange : décision d’opportunité / compatibilité métier.</w:t>
      </w:r>
    </w:p>
    <w:p>
      <w:pPr>
        <w:pStyle w:val="Compact"/>
        <w:numPr>
          <w:ilvl w:val="0"/>
          <w:numId w:val="1006"/>
        </w:numPr>
      </w:pPr>
      <w:r>
        <w:t xml:space="preserve">Location &amp; Journey : représentation spatiale et contraintes de parcours.</w:t>
      </w:r>
    </w:p>
    <w:p>
      <w:pPr>
        <w:pStyle w:val="Compact"/>
        <w:numPr>
          <w:ilvl w:val="0"/>
          <w:numId w:val="1006"/>
        </w:numPr>
      </w:pPr>
      <w:r>
        <w:t xml:space="preserve">Capacity &amp; Availability : disponibilité réelle.</w:t>
      </w:r>
    </w:p>
    <w:p>
      <w:pPr>
        <w:pStyle w:val="Compact"/>
        <w:numPr>
          <w:ilvl w:val="0"/>
          <w:numId w:val="1006"/>
        </w:numPr>
      </w:pPr>
      <w:r>
        <w:t xml:space="preserve">Mission Orchestration : état des missions.</w:t>
      </w:r>
    </w:p>
    <w:bookmarkEnd w:id="71"/>
    <w:bookmarkStart w:id="72" w:name="verdict-9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 — SCÉNARIO CRITIQUE POUR LE CORE DOMAIN.</w:t>
      </w:r>
    </w:p>
    <w:p>
      <w:pPr>
        <w:pStyle w:val="BodyText"/>
      </w:pPr>
      <w:r>
        <w:t xml:space="preserve">Il renforce l’hypothèse selon laquelle le cœur du système se situe dans l’orchestration de capacités et non dans le simple suivi d’une mission.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a9afe7ad37ba61fca26277127e079c1ffe529cb"/>
    <w:p>
      <w:pPr>
        <w:pStyle w:val="Heading1"/>
      </w:pPr>
      <w:r>
        <w:t xml:space="preserve">12. Scénario S11 — Capacité qui refuse une proposition</w:t>
      </w:r>
    </w:p>
    <w:bookmarkStart w:id="74" w:name="déroulement-10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→ refus</w:t>
      </w:r>
      <w:r>
        <w:br/>
      </w:r>
      <w:r>
        <w:rPr>
          <w:rStyle w:val="VerbatimChar"/>
        </w:rPr>
        <w:t xml:space="preserve">  → capacité reste disponible</w:t>
      </w:r>
      <w:r>
        <w:br/>
      </w:r>
      <w:r>
        <w:rPr>
          <w:rStyle w:val="VerbatimChar"/>
        </w:rPr>
        <w:t xml:space="preserve">  → nouvelle proposition possible</w:t>
      </w:r>
    </w:p>
    <w:bookmarkEnd w:id="74"/>
    <w:bookmarkStart w:id="75" w:name="analyse-10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Un refus ne doit pas être interprété comme une indisponibilité.</w:t>
      </w:r>
    </w:p>
    <w:bookmarkEnd w:id="75"/>
    <w:bookmarkStart w:id="76" w:name="verdict-10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 AVEC AFFINEMENT.</w:t>
      </w:r>
    </w:p>
    <w:bookmarkEnd w:id="76"/>
    <w:bookmarkStart w:id="77" w:name="invariant-ajouté"/>
    <w:p>
      <w:pPr>
        <w:pStyle w:val="Heading3"/>
      </w:pPr>
      <w:r>
        <w:t xml:space="preserve">Invariant ajouté</w:t>
      </w:r>
    </w:p>
    <w:p>
      <w:pPr>
        <w:pStyle w:val="BlockText"/>
      </w:pPr>
      <w:r>
        <w:t xml:space="preserve">Refus d’une opportunité ≠ retrait de disponibilité.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scénario-s12-incident-pendant-lexécution"/>
    <w:p>
      <w:pPr>
        <w:pStyle w:val="Heading1"/>
      </w:pPr>
      <w:r>
        <w:t xml:space="preserve">13. Scénario S12 — Incident pendant l’exécution</w:t>
      </w:r>
    </w:p>
    <w:bookmarkStart w:id="79" w:name="déroulement-11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Exécution</w:t>
      </w:r>
      <w:r>
        <w:br/>
      </w:r>
      <w:r>
        <w:rPr>
          <w:rStyle w:val="VerbatimChar"/>
        </w:rPr>
        <w:t xml:space="preserve">  → incident</w:t>
      </w:r>
      <w:r>
        <w:br/>
      </w:r>
      <w:r>
        <w:rPr>
          <w:rStyle w:val="VerbatimChar"/>
        </w:rPr>
        <w:t xml:space="preserve">  → mission perturbée</w:t>
      </w:r>
      <w:r>
        <w:br/>
      </w:r>
      <w:r>
        <w:rPr>
          <w:rStyle w:val="VerbatimChar"/>
        </w:rPr>
        <w:t xml:space="preserve">  → action corrective</w:t>
      </w:r>
    </w:p>
    <w:bookmarkEnd w:id="79"/>
    <w:bookmarkStart w:id="80" w:name="analyse-11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Le terme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 </w:t>
      </w:r>
      <w:r>
        <w:t xml:space="preserve">est actuellement trop générique.</w:t>
      </w:r>
    </w:p>
    <w:p>
      <w:pPr>
        <w:pStyle w:val="BodyText"/>
      </w:pPr>
      <w:r>
        <w:t xml:space="preserve">Un incident peut être :</w:t>
      </w:r>
    </w:p>
    <w:p>
      <w:pPr>
        <w:pStyle w:val="Compact"/>
        <w:numPr>
          <w:ilvl w:val="0"/>
          <w:numId w:val="1007"/>
        </w:numPr>
      </w:pPr>
      <w:r>
        <w:t xml:space="preserve">opérationnel ;</w:t>
      </w:r>
    </w:p>
    <w:p>
      <w:pPr>
        <w:pStyle w:val="Compact"/>
        <w:numPr>
          <w:ilvl w:val="0"/>
          <w:numId w:val="1007"/>
        </w:numPr>
      </w:pPr>
      <w:r>
        <w:t xml:space="preserve">physique / colis ;</w:t>
      </w:r>
    </w:p>
    <w:p>
      <w:pPr>
        <w:pStyle w:val="Compact"/>
        <w:numPr>
          <w:ilvl w:val="0"/>
          <w:numId w:val="1007"/>
        </w:numPr>
      </w:pPr>
      <w:r>
        <w:t xml:space="preserve">localisation ;</w:t>
      </w:r>
    </w:p>
    <w:p>
      <w:pPr>
        <w:pStyle w:val="Compact"/>
        <w:numPr>
          <w:ilvl w:val="0"/>
          <w:numId w:val="1007"/>
        </w:numPr>
      </w:pPr>
      <w:r>
        <w:t xml:space="preserve">organisationnel ;</w:t>
      </w:r>
    </w:p>
    <w:p>
      <w:pPr>
        <w:pStyle w:val="Compact"/>
        <w:numPr>
          <w:ilvl w:val="0"/>
          <w:numId w:val="1007"/>
        </w:numPr>
      </w:pPr>
      <w:r>
        <w:t xml:space="preserve">économique ;</w:t>
      </w:r>
    </w:p>
    <w:p>
      <w:pPr>
        <w:pStyle w:val="Compact"/>
        <w:numPr>
          <w:ilvl w:val="0"/>
          <w:numId w:val="1007"/>
        </w:numPr>
      </w:pPr>
      <w:r>
        <w:t xml:space="preserve">sécurité / conformité.</w:t>
      </w:r>
    </w:p>
    <w:bookmarkEnd w:id="80"/>
    <w:bookmarkStart w:id="81" w:name="verdict-11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À AFFINER.</w:t>
      </w:r>
    </w:p>
    <w:bookmarkEnd w:id="81"/>
    <w:bookmarkStart w:id="82" w:name="décision-1"/>
    <w:p>
      <w:pPr>
        <w:pStyle w:val="Heading3"/>
      </w:pPr>
      <w:r>
        <w:t xml:space="preserve">Décision</w:t>
      </w:r>
    </w:p>
    <w:p>
      <w:pPr>
        <w:pStyle w:val="FirstParagraph"/>
      </w:pPr>
      <w:r>
        <w:t xml:space="preserve">Il ne faut pas créer un « Incident Context » générique.</w:t>
      </w:r>
    </w:p>
    <w:p>
      <w:pPr>
        <w:pStyle w:val="BodyText"/>
      </w:pPr>
      <w:r>
        <w:t xml:space="preserve">Chaque contexte propriétaire doit posséder ses propres catégories d’exception, puis publier les événements nécessaires à</w:t>
      </w:r>
      <w:r>
        <w:t xml:space="preserve"> </w:t>
      </w:r>
      <w:r>
        <w:rPr>
          <w:rStyle w:val="VerbatimChar"/>
        </w:rPr>
        <w:t xml:space="preserve">Trust &amp; Evidence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f9dbab501a3998597be706a481bad054a122715"/>
    <w:p>
      <w:pPr>
        <w:pStyle w:val="Heading1"/>
      </w:pPr>
      <w:r>
        <w:t xml:space="preserve">14. Scénario S13 — Organisation autonome dans le réseau</w:t>
      </w:r>
    </w:p>
    <w:bookmarkStart w:id="84" w:name="déroulement-12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Organisation A</w:t>
      </w:r>
      <w:r>
        <w:br/>
      </w:r>
      <w:r>
        <w:rPr>
          <w:rStyle w:val="VerbatimChar"/>
        </w:rPr>
        <w:t xml:space="preserve">  → possède ses membres</w:t>
      </w:r>
      <w:r>
        <w:br/>
      </w:r>
      <w:r>
        <w:rPr>
          <w:rStyle w:val="VerbatimChar"/>
        </w:rPr>
        <w:t xml:space="preserve">  → possède ses règles</w:t>
      </w:r>
      <w:r>
        <w:br/>
      </w:r>
      <w:r>
        <w:rPr>
          <w:rStyle w:val="VerbatimChar"/>
        </w:rPr>
        <w:t xml:space="preserve">  → publie des capacités</w:t>
      </w:r>
      <w:r>
        <w:br/>
      </w:r>
      <w:r>
        <w:rPr>
          <w:rStyle w:val="VerbatimChar"/>
        </w:rPr>
        <w:t xml:space="preserve">  → reçoit des opportunités</w:t>
      </w:r>
      <w:r>
        <w:br/>
      </w:r>
      <w:r>
        <w:rPr>
          <w:rStyle w:val="VerbatimChar"/>
        </w:rPr>
        <w:t xml:space="preserve">  → délègue éventuellement</w:t>
      </w:r>
    </w:p>
    <w:bookmarkEnd w:id="84"/>
    <w:bookmarkStart w:id="85" w:name="analyse-12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Le réseau ne doit pas devenir le système de gestion interne de l’organisation.</w:t>
      </w:r>
    </w:p>
    <w:bookmarkEnd w:id="85"/>
    <w:bookmarkStart w:id="86" w:name="verdict-12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bookmarkEnd w:id="86"/>
    <w:bookmarkStart w:id="87" w:name="invariant-confirmé-1"/>
    <w:p>
      <w:pPr>
        <w:pStyle w:val="Heading3"/>
      </w:pPr>
      <w:r>
        <w:t xml:space="preserve">Invariant confirmé</w:t>
      </w:r>
    </w:p>
    <w:p>
      <w:pPr>
        <w:pStyle w:val="BlockText"/>
      </w:pPr>
      <w:r>
        <w:t xml:space="preserve">Interopérabilité ≠ centralisation organisationnelle.</w:t>
      </w:r>
    </w:p>
    <w:p>
      <w:pPr>
        <w:pStyle w:val="FirstParagraph"/>
      </w:pPr>
      <w:r>
        <w:t xml:space="preserve">C’est un principe architectural futur mais surtout un invariant métier stratégique.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c09650a7f2ebdd6c219f142d06575b650265097"/>
    <w:p>
      <w:pPr>
        <w:pStyle w:val="Heading1"/>
      </w:pPr>
      <w:r>
        <w:t xml:space="preserve">15. Scénario S14 — Une personne liée à plusieurs organisations</w:t>
      </w:r>
    </w:p>
    <w:bookmarkStart w:id="89" w:name="déroulement-13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Personne</w:t>
      </w:r>
      <w:r>
        <w:br/>
      </w:r>
      <w:r>
        <w:rPr>
          <w:rStyle w:val="VerbatimChar"/>
        </w:rPr>
        <w:t xml:space="preserve"> ├── affiliation A</w:t>
      </w:r>
      <w:r>
        <w:br/>
      </w:r>
      <w:r>
        <w:rPr>
          <w:rStyle w:val="VerbatimChar"/>
        </w:rPr>
        <w:t xml:space="preserve"> ├── affiliation B</w:t>
      </w:r>
      <w:r>
        <w:br/>
      </w:r>
      <w:r>
        <w:rPr>
          <w:rStyle w:val="VerbatimChar"/>
        </w:rPr>
        <w:t xml:space="preserve"> └── activité indépendante</w:t>
      </w:r>
    </w:p>
    <w:bookmarkEnd w:id="89"/>
    <w:bookmarkStart w:id="90" w:name="analyse-13"/>
    <w:p>
      <w:pPr>
        <w:pStyle w:val="Heading3"/>
      </w:pPr>
      <w:r>
        <w:t xml:space="preserve">Analyse</w:t>
      </w:r>
    </w:p>
    <w:p>
      <w:pPr>
        <w:pStyle w:val="FirstParagraph"/>
      </w:pPr>
      <w:r>
        <w:t xml:space="preserve">Le modèle Identity &amp; Organization doit traiter l’affiliation comme une relation, et non comme une propriété exclusive de la personne.</w:t>
      </w:r>
    </w:p>
    <w:bookmarkEnd w:id="90"/>
    <w:bookmarkStart w:id="91" w:name="verdict-13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bookmarkEnd w:id="91"/>
    <w:bookmarkStart w:id="92" w:name="conséquence"/>
    <w:p>
      <w:pPr>
        <w:pStyle w:val="Heading3"/>
      </w:pPr>
      <w:r>
        <w:t xml:space="preserve">Conséquence</w:t>
      </w:r>
    </w:p>
    <w:p>
      <w:pPr>
        <w:pStyle w:val="FirstParagraph"/>
      </w:pPr>
      <w:r>
        <w:rPr>
          <w:rStyle w:val="VerbatimChar"/>
        </w:rPr>
        <w:t xml:space="preserve">Personne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Compte opérateur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Affiliation</w:t>
      </w:r>
      <w:r>
        <w:t xml:space="preserve"> </w:t>
      </w:r>
      <w:r>
        <w:t xml:space="preserve">ne doivent pas être fusionnés en une seule abstraction.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X3e189e278e459124b97837fca4c9311f4769e89"/>
    <w:p>
      <w:pPr>
        <w:pStyle w:val="Heading1"/>
      </w:pPr>
      <w:r>
        <w:t xml:space="preserve">16. Scénario S15 — Mission exécutée par un acteur externe</w:t>
      </w:r>
    </w:p>
    <w:bookmarkStart w:id="94" w:name="déroulement-14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Titulaire A</w:t>
      </w:r>
      <w:r>
        <w:br/>
      </w:r>
      <w:r>
        <w:rPr>
          <w:rStyle w:val="VerbatimChar"/>
        </w:rPr>
        <w:t xml:space="preserve">  → délégation</w:t>
      </w:r>
      <w:r>
        <w:br/>
      </w:r>
      <w:r>
        <w:rPr>
          <w:rStyle w:val="VerbatimChar"/>
        </w:rPr>
        <w:t xml:space="preserve">  → capacité B</w:t>
      </w:r>
      <w:r>
        <w:br/>
      </w:r>
      <w:r>
        <w:rPr>
          <w:rStyle w:val="VerbatimChar"/>
        </w:rPr>
        <w:t xml:space="preserve">  → exécution</w:t>
      </w:r>
      <w:r>
        <w:br/>
      </w:r>
      <w:r>
        <w:rPr>
          <w:rStyle w:val="VerbatimChar"/>
        </w:rPr>
        <w:t xml:space="preserve">  → garde B</w:t>
      </w:r>
      <w:r>
        <w:br/>
      </w:r>
      <w:r>
        <w:rPr>
          <w:rStyle w:val="VerbatimChar"/>
        </w:rPr>
        <w:t xml:space="preserve">  → remise</w:t>
      </w:r>
    </w:p>
    <w:bookmarkEnd w:id="94"/>
    <w:bookmarkStart w:id="95" w:name="verdict-14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VALIDÉ.</w:t>
      </w:r>
    </w:p>
    <w:p>
      <w:pPr>
        <w:pStyle w:val="BodyText"/>
      </w:pPr>
      <w:r>
        <w:t xml:space="preserve">Ce scénario confirme la nécessité de conserver séparément :</w:t>
      </w:r>
    </w:p>
    <w:p>
      <w:pPr>
        <w:pStyle w:val="SourceCode"/>
      </w:pPr>
      <w:r>
        <w:rPr>
          <w:rStyle w:val="VerbatimChar"/>
        </w:rPr>
        <w:t xml:space="preserve">Titulaire</w:t>
      </w:r>
      <w:r>
        <w:br/>
      </w:r>
      <w:r>
        <w:rPr>
          <w:rStyle w:val="VerbatimChar"/>
        </w:rPr>
        <w:t xml:space="preserve">Exécutant</w:t>
      </w:r>
      <w:r>
        <w:br/>
      </w:r>
      <w:r>
        <w:rPr>
          <w:rStyle w:val="VerbatimChar"/>
        </w:rPr>
        <w:t xml:space="preserve">Responsable physique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f8dac9355cc4581666e8034bcda04e40379fd9f"/>
    <w:p>
      <w:pPr>
        <w:pStyle w:val="Heading1"/>
      </w:pPr>
      <w:r>
        <w:t xml:space="preserve">17. Scénario S16 — Preuve manquante ou contestée</w:t>
      </w:r>
    </w:p>
    <w:bookmarkStart w:id="97" w:name="déroulement-15"/>
    <w:p>
      <w:pPr>
        <w:pStyle w:val="Heading3"/>
      </w:pPr>
      <w:r>
        <w:t xml:space="preserve">Déroulement</w:t>
      </w:r>
    </w:p>
    <w:p>
      <w:pPr>
        <w:pStyle w:val="SourceCode"/>
      </w:pPr>
      <w:r>
        <w:rPr>
          <w:rStyle w:val="VerbatimChar"/>
        </w:rPr>
        <w:t xml:space="preserve">Événement opérationnel</w:t>
      </w:r>
      <w:r>
        <w:br/>
      </w:r>
      <w:r>
        <w:rPr>
          <w:rStyle w:val="VerbatimChar"/>
        </w:rPr>
        <w:t xml:space="preserve">  → preuve attendue</w:t>
      </w:r>
      <w:r>
        <w:br/>
      </w:r>
      <w:r>
        <w:rPr>
          <w:rStyle w:val="VerbatimChar"/>
        </w:rPr>
        <w:t xml:space="preserve">  → preuve absente / insuffisante</w:t>
      </w:r>
      <w:r>
        <w:br/>
      </w:r>
      <w:r>
        <w:rPr>
          <w:rStyle w:val="VerbatimChar"/>
        </w:rPr>
        <w:t xml:space="preserve">  → événement contestable</w:t>
      </w:r>
    </w:p>
    <w:bookmarkEnd w:id="97"/>
    <w:bookmarkStart w:id="98" w:name="analyse-14"/>
    <w:p>
      <w:pPr>
        <w:pStyle w:val="Heading3"/>
      </w:pPr>
      <w:r>
        <w:t xml:space="preserve">Analyse</w:t>
      </w:r>
    </w:p>
    <w:p>
      <w:pPr>
        <w:pStyle w:val="FirstParagraph"/>
      </w:pPr>
      <w:r>
        <w:rPr>
          <w:rStyle w:val="VerbatimChar"/>
        </w:rPr>
        <w:t xml:space="preserve">Trust &amp; Evidence</w:t>
      </w:r>
      <w:r>
        <w:t xml:space="preserve"> </w:t>
      </w:r>
      <w:r>
        <w:t xml:space="preserve">ne doit pas devenir propriétaire de la réalité opérationnelle.</w:t>
      </w:r>
    </w:p>
    <w:p>
      <w:pPr>
        <w:pStyle w:val="BodyText"/>
      </w:pPr>
      <w:r>
        <w:t xml:space="preserve">Il doit évaluer / conserver la preuve de faits produits par les contextes opérationnels.</w:t>
      </w:r>
    </w:p>
    <w:bookmarkEnd w:id="98"/>
    <w:bookmarkStart w:id="99" w:name="verdict-15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VALIDÉ AVEC AFFINEMENT.</w:t>
      </w:r>
    </w:p>
    <w:bookmarkEnd w:id="99"/>
    <w:bookmarkStart w:id="100" w:name="principe"/>
    <w:p>
      <w:pPr>
        <w:pStyle w:val="Heading3"/>
      </w:pPr>
      <w:r>
        <w:t xml:space="preserve">Principe</w:t>
      </w:r>
    </w:p>
    <w:p>
      <w:pPr>
        <w:pStyle w:val="BlockText"/>
      </w:pPr>
      <w:r>
        <w:t xml:space="preserve">Le contexte opérationnel produit le fait ; le contexte de preuve rend ce fait vérifiable et exploitable.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matrice-globale-de-validation"/>
    <w:p>
      <w:pPr>
        <w:pStyle w:val="Heading1"/>
      </w:pPr>
      <w:r>
        <w:t xml:space="preserve">18. Matrice globale de validation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 / complétion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adressée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AFFINER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Délégation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indisponible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AFFINER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Acceptation sans 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Anomalie colis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Transfert de 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relais / gare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AFFINER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AFFINER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 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AFFINER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Autonomie organisationnelle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Exécutant externe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Preuve contestée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préciser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AFFINER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Résultat : aucun scénario ne produit actuellement de contradiction structurelle majeure.</w:t>
      </w:r>
    </w:p>
    <w:p>
      <w:pPr>
        <w:pStyle w:val="BodyText"/>
      </w:pPr>
      <w:r>
        <w:t xml:space="preserve">Le modèle est donc</w:t>
      </w:r>
      <w:r>
        <w:t xml:space="preserve"> </w:t>
      </w:r>
      <w:r>
        <w:rPr>
          <w:b/>
          <w:bCs/>
        </w:rPr>
        <w:t xml:space="preserve">viable</w:t>
      </w:r>
      <w:r>
        <w:t xml:space="preserve">, mais pas encore suffisamment précis pour être déclaré définitif.</w:t>
      </w:r>
    </w:p>
    <w:p>
      <w:r>
        <w:pict>
          <v:rect style="width:0;height:1.5pt" o:hralign="center" o:hrstd="t" o:hr="t"/>
        </w:pict>
      </w:r>
    </w:p>
    <w:bookmarkEnd w:id="102"/>
    <w:bookmarkStart w:id="108" w:name="conclusions-fortes-de-la-revue"/>
    <w:p>
      <w:pPr>
        <w:pStyle w:val="Heading1"/>
      </w:pPr>
      <w:r>
        <w:t xml:space="preserve">19. Conclusions fortes de la revue</w:t>
      </w:r>
    </w:p>
    <w:bookmarkStart w:id="103" w:name="X282bf955656fa247b8bf25f1268264a003c1076"/>
    <w:p>
      <w:pPr>
        <w:pStyle w:val="Heading2"/>
      </w:pPr>
      <w:r>
        <w:t xml:space="preserve">C01 — Capacity Exchange devient le candidat Core Domain le plus crédible</w:t>
      </w:r>
    </w:p>
    <w:p>
      <w:pPr>
        <w:pStyle w:val="FirstParagraph"/>
      </w:pPr>
      <w:r>
        <w:t xml:space="preserve">Les scénarios de :</w:t>
      </w:r>
    </w:p>
    <w:p>
      <w:pPr>
        <w:pStyle w:val="Compact"/>
        <w:numPr>
          <w:ilvl w:val="0"/>
          <w:numId w:val="1008"/>
        </w:numPr>
      </w:pPr>
      <w:r>
        <w:t xml:space="preserve">délégation ;</w:t>
      </w:r>
    </w:p>
    <w:p>
      <w:pPr>
        <w:pStyle w:val="Compact"/>
        <w:numPr>
          <w:ilvl w:val="0"/>
          <w:numId w:val="1008"/>
        </w:numPr>
      </w:pPr>
      <w:r>
        <w:t xml:space="preserve">publication ;</w:t>
      </w:r>
    </w:p>
    <w:p>
      <w:pPr>
        <w:pStyle w:val="Compact"/>
        <w:numPr>
          <w:ilvl w:val="0"/>
          <w:numId w:val="1008"/>
        </w:numPr>
      </w:pPr>
      <w:r>
        <w:t xml:space="preserve">éligibilité ;</w:t>
      </w:r>
    </w:p>
    <w:p>
      <w:pPr>
        <w:pStyle w:val="Compact"/>
        <w:numPr>
          <w:ilvl w:val="0"/>
          <w:numId w:val="1008"/>
        </w:numPr>
      </w:pPr>
      <w:r>
        <w:t xml:space="preserve">compatibilité ;</w:t>
      </w:r>
    </w:p>
    <w:p>
      <w:pPr>
        <w:pStyle w:val="Compact"/>
        <w:numPr>
          <w:ilvl w:val="0"/>
          <w:numId w:val="1008"/>
        </w:numPr>
      </w:pPr>
      <w:r>
        <w:t xml:space="preserve">multi-missions ;</w:t>
      </w:r>
    </w:p>
    <w:p>
      <w:pPr>
        <w:pStyle w:val="Compact"/>
        <w:numPr>
          <w:ilvl w:val="0"/>
          <w:numId w:val="1008"/>
        </w:numPr>
      </w:pPr>
      <w:r>
        <w:t xml:space="preserve">engagement ;</w:t>
      </w:r>
    </w:p>
    <w:p>
      <w:pPr>
        <w:pStyle w:val="Compact"/>
        <w:numPr>
          <w:ilvl w:val="0"/>
          <w:numId w:val="1008"/>
        </w:numPr>
      </w:pPr>
      <w:r>
        <w:t xml:space="preserve">circulation de capacité ;</w:t>
      </w:r>
    </w:p>
    <w:p>
      <w:pPr>
        <w:pStyle w:val="FirstParagraph"/>
      </w:pPr>
      <w:r>
        <w:t xml:space="preserve">convergent tous vers cette frontière.</w:t>
      </w:r>
    </w:p>
    <w:p>
      <w:pPr>
        <w:pStyle w:val="BodyText"/>
      </w:pPr>
      <w:r>
        <w:t xml:space="preserve">Cela renforce l’hypothèse :</w:t>
      </w:r>
    </w:p>
    <w:p>
      <w:pPr>
        <w:pStyle w:val="BlockText"/>
      </w:pPr>
      <w:r>
        <w:rPr>
          <w:b/>
          <w:bCs/>
        </w:rPr>
        <w:t xml:space="preserve">Le système construit une infrastructure de circulation et d’orchestration de capacités, et non simplement une plateforme de dispatch.</w:t>
      </w:r>
    </w:p>
    <w:p>
      <w:r>
        <w:pict>
          <v:rect style="width:0;height:1.5pt" o:hralign="center" o:hrstd="t" o:hr="t"/>
        </w:pict>
      </w:r>
    </w:p>
    <w:bookmarkEnd w:id="103"/>
    <w:bookmarkStart w:id="104" w:name="X2ac303e9c186bfeb7904c0ca42ec349f7d293d4"/>
    <w:p>
      <w:pPr>
        <w:pStyle w:val="Heading2"/>
      </w:pPr>
      <w:r>
        <w:t xml:space="preserve">C02 — Mission Orchestration et Capacity Exchange doivent rester distincts</w:t>
      </w:r>
    </w:p>
    <w:p>
      <w:pPr>
        <w:pStyle w:val="FirstParagraph"/>
      </w:pPr>
      <w:r>
        <w:t xml:space="preserve">La mission exprime et porte le besoin.</w:t>
      </w:r>
    </w:p>
    <w:p>
      <w:pPr>
        <w:pStyle w:val="BodyText"/>
      </w:pPr>
      <w:r>
        <w:t xml:space="preserve">L’échange de capacité décide comment une capacité peut répondre à ce besoin.</w:t>
      </w:r>
    </w:p>
    <w:p>
      <w:pPr>
        <w:pStyle w:val="BodyText"/>
      </w:pPr>
      <w:r>
        <w:t xml:space="preserve">Cette séparation est stratégique.</w:t>
      </w:r>
    </w:p>
    <w:p>
      <w:r>
        <w:pict>
          <v:rect style="width:0;height:1.5pt" o:hralign="center" o:hrstd="t" o:hr="t"/>
        </w:pict>
      </w:r>
    </w:p>
    <w:bookmarkEnd w:id="104"/>
    <w:bookmarkStart w:id="105" w:name="X5a5441cedc19e787a9bed0415fab5908d3d6eae"/>
    <w:p>
      <w:pPr>
        <w:pStyle w:val="Heading2"/>
      </w:pPr>
      <w:r>
        <w:t xml:space="preserve">C03 — Execution &amp; Custody constitue une frontière métier forte</w:t>
      </w:r>
    </w:p>
    <w:p>
      <w:pPr>
        <w:pStyle w:val="FirstParagraph"/>
      </w:pPr>
      <w:r>
        <w:t xml:space="preserve">La garde physique est suffisamment critique pour justifier son propre contexte.</w:t>
      </w:r>
    </w:p>
    <w:p>
      <w:pPr>
        <w:pStyle w:val="BodyText"/>
      </w:pPr>
      <w:r>
        <w:t xml:space="preserve">Elle ne doit pas être réduite à</w:t>
      </w:r>
      <w:r>
        <w:t xml:space="preserve"> </w:t>
      </w:r>
      <w:r>
        <w:rPr>
          <w:rStyle w:val="VerbatimChar"/>
        </w:rPr>
        <w:t xml:space="preserve">Mission.status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Xeb3c84ec9225867d9cdf93c4bedd1bcf632b8b7"/>
    <w:p>
      <w:pPr>
        <w:pStyle w:val="Heading2"/>
      </w:pPr>
      <w:r>
        <w:t xml:space="preserve">C04 — Trust &amp; Evidence est probablement un contexte de soutien</w:t>
      </w:r>
    </w:p>
    <w:p>
      <w:pPr>
        <w:pStyle w:val="FirstParagraph"/>
      </w:pPr>
      <w:r>
        <w:t xml:space="preserve">Il fournit une capacité stratégique importante, mais il ne doit pas devenir le propriétaire de tous les événements.</w:t>
      </w:r>
    </w:p>
    <w:p>
      <w:r>
        <w:pict>
          <v:rect style="width:0;height:1.5pt" o:hralign="center" o:hrstd="t" o:hr="t"/>
        </w:pict>
      </w:r>
    </w:p>
    <w:bookmarkEnd w:id="106"/>
    <w:bookmarkStart w:id="107" w:name="X0307cf348d1a224be7fab610b4ad9cfacfad6cb"/>
    <w:p>
      <w:pPr>
        <w:pStyle w:val="Heading2"/>
      </w:pPr>
      <w:r>
        <w:t xml:space="preserve">C05 — Location &amp; Journey ne doit pas devenir prématurément un « moteur de routing »</w:t>
      </w:r>
    </w:p>
    <w:p>
      <w:pPr>
        <w:pStyle w:val="FirstParagraph"/>
      </w:pPr>
      <w:r>
        <w:t xml:space="preserve">Dans le modèle stratégique, son rôle est d’abord :</w:t>
      </w:r>
    </w:p>
    <w:p>
      <w:pPr>
        <w:pStyle w:val="BlockText"/>
      </w:pPr>
      <w:r>
        <w:t xml:space="preserve">représenter et rendre comparable le contexte spatial et temporel.</w:t>
      </w:r>
    </w:p>
    <w:p>
      <w:pPr>
        <w:pStyle w:val="FirstParagraph"/>
      </w:pPr>
      <w:r>
        <w:t xml:space="preserve">L’optimisation algorithmique vient ensuite.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nouveau-découpage-stabilisé-provisoire"/>
    <w:p>
      <w:pPr>
        <w:pStyle w:val="Heading1"/>
      </w:pPr>
      <w:r>
        <w:t xml:space="preserve">20. Nouveau découpage stabilisé provisoire</w:t>
      </w:r>
    </w:p>
    <w:p>
      <w:pPr>
        <w:pStyle w:val="FirstParagraph"/>
      </w:pPr>
      <w:r>
        <w:t xml:space="preserve">Après revue, la carte devient :</w:t>
      </w:r>
    </w:p>
    <w:p>
      <w:pPr>
        <w:pStyle w:val="SourceCode"/>
      </w:pPr>
      <w:r>
        <w:rPr>
          <w:rStyle w:val="VerbatimChar"/>
        </w:rPr>
        <w:t xml:space="preserve">                 IDENTITY &amp; ORGANIZATION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CAPACITY &amp; AVAILABILITY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┌─────────────────┐</w:t>
      </w:r>
      <w:r>
        <w:br/>
      </w:r>
      <w:r>
        <w:rPr>
          <w:rStyle w:val="VerbatimChar"/>
        </w:rPr>
        <w:t xml:space="preserve">                 │ CAPACITY        │</w:t>
      </w:r>
      <w:r>
        <w:br/>
      </w:r>
      <w:r>
        <w:rPr>
          <w:rStyle w:val="VerbatimChar"/>
        </w:rPr>
        <w:t xml:space="preserve">                 │ EXCHANGE        │</w:t>
      </w:r>
      <w:r>
        <w:br/>
      </w:r>
      <w:r>
        <w:rPr>
          <w:rStyle w:val="VerbatimChar"/>
        </w:rPr>
        <w:t xml:space="preserve">                 │                 │</w:t>
      </w:r>
      <w:r>
        <w:br/>
      </w:r>
      <w:r>
        <w:rPr>
          <w:rStyle w:val="VerbatimChar"/>
        </w:rPr>
        <w:t xml:space="preserve">                 │ CORE CANDIDATE  │</w:t>
      </w:r>
      <w:r>
        <w:br/>
      </w:r>
      <w:r>
        <w:rPr>
          <w:rStyle w:val="VerbatimChar"/>
        </w:rPr>
        <w:t xml:space="preserve">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▼                         ▼</w:t>
      </w:r>
      <w:r>
        <w:br/>
      </w:r>
      <w:r>
        <w:rPr>
          <w:rStyle w:val="VerbatimChar"/>
        </w:rPr>
        <w:t xml:space="preserve">    MISSION ORCHESTRATION       LOCATION &amp; JOURNEY</w:t>
      </w:r>
      <w:r>
        <w:br/>
      </w:r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 xml:space="preserve">             ▼                         │</w:t>
      </w:r>
      <w:r>
        <w:br/>
      </w:r>
      <w:r>
        <w:rPr>
          <w:rStyle w:val="VerbatimChar"/>
        </w:rPr>
        <w:t xml:space="preserve">     EXECUTION &amp; CUSTODY ◄────────────┘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TRUST &amp; EVIDENCE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SETTLEMENT &amp; ECONOMICS</w:t>
      </w:r>
    </w:p>
    <w:p>
      <w:pPr>
        <w:pStyle w:val="FirstParagraph"/>
      </w:pPr>
      <w:r>
        <w:t xml:space="preserve">Cette carte est une</w:t>
      </w:r>
      <w:r>
        <w:t xml:space="preserve"> </w:t>
      </w:r>
      <w:r>
        <w:rPr>
          <w:b/>
          <w:bCs/>
        </w:rPr>
        <w:t xml:space="preserve">baseline DDD v0.2 candidate</w:t>
      </w:r>
      <w:r>
        <w:t xml:space="preserve">, pas encore une architecture.</w:t>
      </w:r>
    </w:p>
    <w:p>
      <w:r>
        <w:pict>
          <v:rect style="width:0;height:1.5pt" o:hralign="center" o:hrstd="t" o:hr="t"/>
        </w:pict>
      </w:r>
    </w:p>
    <w:bookmarkEnd w:id="109"/>
    <w:bookmarkStart w:id="115" w:name="invariants-supplémentaires-révélés"/>
    <w:p>
      <w:pPr>
        <w:pStyle w:val="Heading1"/>
      </w:pPr>
      <w:r>
        <w:t xml:space="preserve">21. Invariants supplémentaires révélés</w:t>
      </w:r>
    </w:p>
    <w:p>
      <w:pPr>
        <w:pStyle w:val="FirstParagraph"/>
      </w:pPr>
      <w:r>
        <w:t xml:space="preserve">La revue ajoute provisoirement :</w:t>
      </w:r>
    </w:p>
    <w:bookmarkStart w:id="110" w:name="i-13-disponibilité-proposition"/>
    <w:p>
      <w:pPr>
        <w:pStyle w:val="Heading3"/>
      </w:pPr>
      <w:r>
        <w:t xml:space="preserve">I-13 — Disponibilité ≠ proposition</w:t>
      </w:r>
    </w:p>
    <w:p>
      <w:pPr>
        <w:pStyle w:val="FirstParagraph"/>
      </w:pPr>
      <w:r>
        <w:t xml:space="preserve">Une capacité disponible n’est pas engagée simplement parce qu’elle est éligible.</w:t>
      </w:r>
    </w:p>
    <w:bookmarkEnd w:id="110"/>
    <w:bookmarkStart w:id="111" w:name="i-14-proposition-engagement"/>
    <w:p>
      <w:pPr>
        <w:pStyle w:val="Heading3"/>
      </w:pPr>
      <w:r>
        <w:t xml:space="preserve">I-14 — Proposition ≠ engagement</w:t>
      </w:r>
    </w:p>
    <w:p>
      <w:pPr>
        <w:pStyle w:val="FirstParagraph"/>
      </w:pPr>
      <w:r>
        <w:t xml:space="preserve">Une proposition peut être refusée, expirée ou invalidée.</w:t>
      </w:r>
    </w:p>
    <w:bookmarkEnd w:id="111"/>
    <w:bookmarkStart w:id="112" w:name="i-15-refus-indisponibilité"/>
    <w:p>
      <w:pPr>
        <w:pStyle w:val="Heading3"/>
      </w:pPr>
      <w:r>
        <w:t xml:space="preserve">I-15 — Refus ≠ indisponibilité</w:t>
      </w:r>
    </w:p>
    <w:p>
      <w:pPr>
        <w:pStyle w:val="FirstParagraph"/>
      </w:pPr>
      <w:r>
        <w:t xml:space="preserve">Le refus d’une proposition ne modifie pas automatiquement la disponibilité générale.</w:t>
      </w:r>
    </w:p>
    <w:bookmarkEnd w:id="112"/>
    <w:bookmarkStart w:id="113" w:name="i-16-délégation-transfert-de-titularité"/>
    <w:p>
      <w:pPr>
        <w:pStyle w:val="Heading3"/>
      </w:pPr>
      <w:r>
        <w:t xml:space="preserve">I-16 — Délégation ≠ transfert de titularité</w:t>
      </w:r>
    </w:p>
    <w:p>
      <w:pPr>
        <w:pStyle w:val="FirstParagraph"/>
      </w:pPr>
      <w:r>
        <w:t xml:space="preserve">La délégation organise l’exécution sans modifier automatiquement le titulaire de la mission.</w:t>
      </w:r>
    </w:p>
    <w:bookmarkEnd w:id="113"/>
    <w:bookmarkStart w:id="114" w:name="X09734a3c1cae767d2b856aae602aa1d70122cf7"/>
    <w:p>
      <w:pPr>
        <w:pStyle w:val="Heading3"/>
      </w:pPr>
      <w:r>
        <w:t xml:space="preserve">I-17 — Le contexte opérationnel possède le fait</w:t>
      </w:r>
    </w:p>
    <w:p>
      <w:pPr>
        <w:pStyle w:val="FirstParagraph"/>
      </w:pPr>
      <w:r>
        <w:t xml:space="preserve">Un contexte de preuve ne doit pas créer rétroactivement la réalité métier qu’il documente.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Xd9c524234b7e61760db2540057ca4c2e9fa17bf"/>
    <w:p>
      <w:pPr>
        <w:pStyle w:val="Heading1"/>
      </w:pPr>
      <w:r>
        <w:t xml:space="preserve">22. Questions qui restent suffisamment importantes pour bloquer le DDD tactique</w:t>
      </w:r>
    </w:p>
    <w:p>
      <w:pPr>
        <w:pStyle w:val="FirstParagraph"/>
      </w:pPr>
      <w:r>
        <w:t xml:space="preserve">Six questions sont maintenant prioritaires 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Qu’est-ce qu’une capacité ?</w:t>
      </w:r>
      <w:r>
        <w:br/>
      </w:r>
      <w:r>
        <w:t xml:space="preserve">Personne, véhicule, combinaison de ressources, ou abstraction composable 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Qu’est-ce qu’un engagement ?</w:t>
      </w:r>
      <w:r>
        <w:br/>
      </w:r>
      <w:r>
        <w:t xml:space="preserve">À quel moment une capacité cesse-t-elle d’être libre 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Quelle est l’unité exacte d’échange ?</w:t>
      </w:r>
      <w:r>
        <w:br/>
      </w:r>
      <w:r>
        <w:t xml:space="preserve">Mission complète, étape, lot, segment de trajet ou opportunité 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Quelle est la frontière entre compatibilité et optimisation 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Quelle politique d’ouverture permet l’équité sans rendre l’échange inefficace 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Quel niveau de confiance est nécessaire pour qu’une organisation accepte réellement de déléguer une mission à une capacité externe ?</w:t>
      </w:r>
    </w:p>
    <w:p>
      <w:pPr>
        <w:pStyle w:val="FirstParagraph"/>
      </w:pPr>
      <w:r>
        <w:t xml:space="preserve">Ces questions sont désormais plus importantes que la simple nomenclature des objets.</w:t>
      </w:r>
    </w:p>
    <w:p>
      <w:r>
        <w:pict>
          <v:rect style="width:0;height:1.5pt" o:hralign="center" o:hrstd="t" o:hr="t"/>
        </w:pict>
      </w:r>
    </w:p>
    <w:bookmarkEnd w:id="116"/>
    <w:bookmarkStart w:id="118" w:name="décision-de-passage"/>
    <w:p>
      <w:pPr>
        <w:pStyle w:val="Heading1"/>
      </w:pPr>
      <w:r>
        <w:t xml:space="preserve">23. Décision de passage</w:t>
      </w:r>
    </w:p>
    <w:p>
      <w:pPr>
        <w:pStyle w:val="FirstParagraph"/>
      </w:pPr>
      <w:r>
        <w:t xml:space="preserve">Le DDD stratégique v0.1</w:t>
      </w:r>
      <w:r>
        <w:t xml:space="preserve"> </w:t>
      </w:r>
      <w:r>
        <w:rPr>
          <w:b/>
          <w:bCs/>
        </w:rPr>
        <w:t xml:space="preserve">passe la revue contradictoire sans contradiction structurelle majeure</w:t>
      </w:r>
      <w:r>
        <w:t xml:space="preserve">.</w:t>
      </w:r>
    </w:p>
    <w:p>
      <w:pPr>
        <w:pStyle w:val="BodyText"/>
      </w:pPr>
      <w:r>
        <w:t xml:space="preserve">Il n’est cependant pas encore déclaré définitif.</w:t>
      </w:r>
    </w:p>
    <w:bookmarkStart w:id="117" w:name="statut-recommandé"/>
    <w:p>
      <w:pPr>
        <w:pStyle w:val="Heading3"/>
      </w:pPr>
      <w:r>
        <w:t xml:space="preserve">Statut recommandé</w:t>
      </w:r>
    </w:p>
    <w:p>
      <w:pPr>
        <w:pStyle w:val="SourceCode"/>
      </w:pPr>
      <w:r>
        <w:rPr>
          <w:rStyle w:val="VerbatimChar"/>
        </w:rPr>
        <w:t xml:space="preserve">DDD stratégique v0.1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REVUE CONTRADICTOIRE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DDD stratégique v0.2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Langage ubiquitaire par contexte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Arbitrage final Core Domain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DDD tactique</w:t>
      </w:r>
    </w:p>
    <w:p>
      <w:pPr>
        <w:pStyle w:val="FirstParagraph"/>
      </w:pPr>
      <w:r>
        <w:t xml:space="preserve">Le prochain travail n’est donc plus de refaire l’Event Storming.</w:t>
      </w:r>
    </w:p>
    <w:p>
      <w:pPr>
        <w:pStyle w:val="BodyText"/>
      </w:pPr>
      <w:r>
        <w:t xml:space="preserve">Il consiste à</w:t>
      </w:r>
      <w:r>
        <w:t xml:space="preserve"> </w:t>
      </w:r>
      <w:r>
        <w:rPr>
          <w:b/>
          <w:bCs/>
        </w:rPr>
        <w:t xml:space="preserve">affiner les six questions critiques</w:t>
      </w:r>
      <w:r>
        <w:t xml:space="preserve">, puis à formaliser le</w:t>
      </w:r>
      <w:r>
        <w:t xml:space="preserve"> </w:t>
      </w:r>
      <w:r>
        <w:rPr>
          <w:b/>
          <w:bCs/>
        </w:rPr>
        <w:t xml:space="preserve">langage ubiquitaire propre à chaque Bounded Context</w:t>
      </w:r>
      <w:r>
        <w:t xml:space="preserve">.</w:t>
      </w:r>
    </w:p>
    <w:p>
      <w:pPr>
        <w:pStyle w:val="BodyText"/>
      </w:pPr>
      <w:r>
        <w:t xml:space="preserve">C’est ce travail qui permettra ensuite de passer proprement du stratégique au tactique sans contaminer le modèle avec des concepts techniques.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2026-08-25T14:27:18Z</dcterms:created>
  <dcterms:modified xsi:type="dcterms:W3CDTF">2026-08-25T14:27:18Z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