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82391e1a555a5a48e559cfcca4492162c79658"/>
    <w:p>
      <w:pPr>
        <w:pStyle w:val="Heading1"/>
      </w:pPr>
      <w:r>
        <w:t xml:space="preserve">DDD stratégique v0.2 — Résolution des six questions critiques</w:t>
      </w:r>
    </w:p>
    <w:p>
      <w:pPr>
        <w:pStyle w:val="FirstParagraph"/>
      </w:pPr>
      <w:r>
        <w:rPr>
          <w:b/>
          <w:bCs/>
        </w:rPr>
        <w:t xml:space="preserve">Écosystème de livraison — Burkina Faso</w:t>
      </w:r>
      <w:r>
        <w:br/>
      </w:r>
      <w:r>
        <w:rPr>
          <w:b/>
          <w:bCs/>
        </w:rPr>
        <w:t xml:space="preserve">Document 3B — Arbitrages stratégiques du domaine</w:t>
      </w:r>
      <w:r>
        <w:br/>
      </w:r>
      <w:r>
        <w:rPr>
          <w:b/>
          <w:bCs/>
        </w:rPr>
        <w:t xml:space="preserve">Version : 0.2</w:t>
      </w:r>
      <w:r>
        <w:br/>
      </w:r>
      <w:r>
        <w:rPr>
          <w:b/>
          <w:bCs/>
        </w:rPr>
        <w:t xml:space="preserve">Date : 25 août 2026</w:t>
      </w:r>
      <w:r>
        <w:br/>
      </w:r>
      <w:r>
        <w:rPr>
          <w:b/>
          <w:bCs/>
        </w:rPr>
        <w:t xml:space="preserve">Statut : WORKING BASELINE — ARBITRAGES DDD À VALIDER PAR LE TERRAIN</w:t>
      </w:r>
    </w:p>
    <w:p>
      <w:r>
        <w:pict>
          <v:rect style="width:0;height:1.5pt" o:hralign="center" o:hrstd="t" o:hr="t"/>
        </w:pict>
      </w:r>
    </w:p>
    <w:bookmarkStart w:id="20" w:name="objet"/>
    <w:p>
      <w:pPr>
        <w:pStyle w:val="Heading2"/>
      </w:pPr>
      <w:r>
        <w:t xml:space="preserve">0. Objet</w:t>
      </w:r>
    </w:p>
    <w:p>
      <w:pPr>
        <w:pStyle w:val="FirstParagraph"/>
      </w:pPr>
      <w:r>
        <w:t xml:space="preserve">Ce document constitue la suite directe du DDD stratégique v0.1 et de sa revue contradictoire.</w:t>
      </w:r>
    </w:p>
    <w:p>
      <w:pPr>
        <w:pStyle w:val="BodyText"/>
      </w:pPr>
      <w:r>
        <w:t xml:space="preserve">Il résout les six questions qui empêchaient de stabiliser le modèle stratégique :</w:t>
      </w:r>
    </w:p>
    <w:p>
      <w:pPr>
        <w:pStyle w:val="Compact"/>
        <w:numPr>
          <w:ilvl w:val="0"/>
          <w:numId w:val="1001"/>
        </w:numPr>
      </w:pPr>
      <w:r>
        <w:t xml:space="preserve">Qu’est-ce qu’une capacité ?</w:t>
      </w:r>
    </w:p>
    <w:p>
      <w:pPr>
        <w:pStyle w:val="Compact"/>
        <w:numPr>
          <w:ilvl w:val="0"/>
          <w:numId w:val="1001"/>
        </w:numPr>
      </w:pPr>
      <w:r>
        <w:t xml:space="preserve">Qu’est-ce qu’un engagement de capacité ?</w:t>
      </w:r>
    </w:p>
    <w:p>
      <w:pPr>
        <w:pStyle w:val="Compact"/>
        <w:numPr>
          <w:ilvl w:val="0"/>
          <w:numId w:val="1001"/>
        </w:numPr>
      </w:pPr>
      <w:r>
        <w:t xml:space="preserve">Quelle est l’unité exacte de l’échange ?</w:t>
      </w:r>
    </w:p>
    <w:p>
      <w:pPr>
        <w:pStyle w:val="Compact"/>
        <w:numPr>
          <w:ilvl w:val="0"/>
          <w:numId w:val="1001"/>
        </w:numPr>
      </w:pPr>
      <w:r>
        <w:t xml:space="preserve">Où se situe la frontière entre compatibilité et optimisation ?</w:t>
      </w:r>
    </w:p>
    <w:p>
      <w:pPr>
        <w:pStyle w:val="Compact"/>
        <w:numPr>
          <w:ilvl w:val="0"/>
          <w:numId w:val="1001"/>
        </w:numPr>
      </w:pPr>
      <w:r>
        <w:t xml:space="preserve">Quelle politique d’ouverture permet l’équité sans rendre l’échange inefficace ?</w:t>
      </w:r>
    </w:p>
    <w:p>
      <w:pPr>
        <w:pStyle w:val="Compact"/>
        <w:numPr>
          <w:ilvl w:val="0"/>
          <w:numId w:val="1001"/>
        </w:numPr>
      </w:pPr>
      <w:r>
        <w:t xml:space="preserve">Quel niveau de confiance est nécessaire pour l’échange entre acteurs autonomes ?</w:t>
      </w:r>
    </w:p>
    <w:p>
      <w:pPr>
        <w:pStyle w:val="FirstParagraph"/>
      </w:pPr>
      <w:r>
        <w:t xml:space="preserve">Ces arbitrages servent à stabiliser le langage métier, les responsabilités et les frontières de contexte avant le DDD tactique.</w:t>
      </w:r>
    </w:p>
    <w:p>
      <w:pPr>
        <w:pStyle w:val="BodyText"/>
      </w:pPr>
      <w:r>
        <w:t xml:space="preserve">Ils ne constituent toujours pas :</w:t>
      </w:r>
    </w:p>
    <w:p>
      <w:pPr>
        <w:pStyle w:val="Compact"/>
        <w:numPr>
          <w:ilvl w:val="0"/>
          <w:numId w:val="1002"/>
        </w:numPr>
      </w:pPr>
      <w:r>
        <w:t xml:space="preserve">une architecture technique ;</w:t>
      </w:r>
    </w:p>
    <w:p>
      <w:pPr>
        <w:pStyle w:val="Compact"/>
        <w:numPr>
          <w:ilvl w:val="0"/>
          <w:numId w:val="1002"/>
        </w:numPr>
      </w:pPr>
      <w:r>
        <w:t xml:space="preserve">un schéma de base de données ;</w:t>
      </w:r>
    </w:p>
    <w:p>
      <w:pPr>
        <w:pStyle w:val="Compact"/>
        <w:numPr>
          <w:ilvl w:val="0"/>
          <w:numId w:val="1002"/>
        </w:numPr>
      </w:pPr>
      <w:r>
        <w:t xml:space="preserve">une API ;</w:t>
      </w:r>
    </w:p>
    <w:p>
      <w:pPr>
        <w:pStyle w:val="Compact"/>
        <w:numPr>
          <w:ilvl w:val="0"/>
          <w:numId w:val="1002"/>
        </w:numPr>
      </w:pPr>
      <w:r>
        <w:t xml:space="preserve">une spécification d’algorithme ;</w:t>
      </w:r>
    </w:p>
    <w:p>
      <w:pPr>
        <w:pStyle w:val="Compact"/>
        <w:numPr>
          <w:ilvl w:val="0"/>
          <w:numId w:val="1002"/>
        </w:numPr>
      </w:pPr>
      <w:r>
        <w:t xml:space="preserve">un MVP définitif ;</w:t>
      </w:r>
    </w:p>
    <w:p>
      <w:pPr>
        <w:pStyle w:val="Compact"/>
        <w:numPr>
          <w:ilvl w:val="0"/>
          <w:numId w:val="1002"/>
        </w:numPr>
      </w:pPr>
      <w:r>
        <w:t xml:space="preserve">une politique juridique définitive.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question-q1-quest-ce-quune-capacité"/>
    <w:p>
      <w:pPr>
        <w:pStyle w:val="Heading1"/>
      </w:pPr>
      <w:r>
        <w:t xml:space="preserve">1. Question Q1 — Qu’est-ce qu’une capacité ?</w:t>
      </w:r>
    </w:p>
    <w:bookmarkStart w:id="22" w:name="décision"/>
    <w:p>
      <w:pPr>
        <w:pStyle w:val="Heading2"/>
      </w:pPr>
      <w:r>
        <w:t xml:space="preserve">1.1 Décision</w:t>
      </w:r>
    </w:p>
    <w:p>
      <w:pPr>
        <w:pStyle w:val="FirstParagraph"/>
      </w:pPr>
      <w:r>
        <w:t xml:space="preserve">Une</w:t>
      </w:r>
      <w:r>
        <w:t xml:space="preserve"> </w:t>
      </w:r>
      <w:r>
        <w:rPr>
          <w:b/>
          <w:bCs/>
        </w:rPr>
        <w:t xml:space="preserve">Capacité</w:t>
      </w:r>
      <w:r>
        <w:t xml:space="preserve"> </w:t>
      </w:r>
      <w:r>
        <w:t xml:space="preserve">est une capacité opérationnelle offerte par un sujet identifiable et exploitable pendant une période donnée, sous des contraintes explicites, pour exécuter une ou plusieurs étapes de mission.</w:t>
      </w:r>
    </w:p>
    <w:p>
      <w:pPr>
        <w:pStyle w:val="BodyText"/>
      </w:pPr>
      <w:r>
        <w:t xml:space="preserve">Une capacité n’est donc :</w:t>
      </w:r>
    </w:p>
    <w:p>
      <w:pPr>
        <w:pStyle w:val="Compact"/>
        <w:numPr>
          <w:ilvl w:val="0"/>
          <w:numId w:val="1003"/>
        </w:numPr>
      </w:pPr>
      <w:r>
        <w:t xml:space="preserve">ni une personne ;</w:t>
      </w:r>
    </w:p>
    <w:p>
      <w:pPr>
        <w:pStyle w:val="Compact"/>
        <w:numPr>
          <w:ilvl w:val="0"/>
          <w:numId w:val="1003"/>
        </w:numPr>
      </w:pPr>
      <w:r>
        <w:t xml:space="preserve">ni un véhicule ;</w:t>
      </w:r>
    </w:p>
    <w:p>
      <w:pPr>
        <w:pStyle w:val="Compact"/>
        <w:numPr>
          <w:ilvl w:val="0"/>
          <w:numId w:val="1003"/>
        </w:numPr>
      </w:pPr>
      <w:r>
        <w:t xml:space="preserve">ni une simple disponibilité ;</w:t>
      </w:r>
    </w:p>
    <w:p>
      <w:pPr>
        <w:pStyle w:val="Compact"/>
        <w:numPr>
          <w:ilvl w:val="0"/>
          <w:numId w:val="1003"/>
        </w:numPr>
      </w:pPr>
      <w:r>
        <w:t xml:space="preserve">ni une mission ;</w:t>
      </w:r>
    </w:p>
    <w:p>
      <w:pPr>
        <w:pStyle w:val="Compact"/>
        <w:numPr>
          <w:ilvl w:val="0"/>
          <w:numId w:val="1003"/>
        </w:numPr>
      </w:pPr>
      <w:r>
        <w:t xml:space="preserve">ni une organisation.</w:t>
      </w:r>
    </w:p>
    <w:p>
      <w:pPr>
        <w:pStyle w:val="FirstParagraph"/>
      </w:pPr>
      <w:r>
        <w:t xml:space="preserve">Elle représente</w:t>
      </w:r>
      <w:r>
        <w:t xml:space="preserve"> </w:t>
      </w:r>
      <w:r>
        <w:rPr>
          <w:b/>
          <w:bCs/>
        </w:rPr>
        <w:t xml:space="preserve">ce qu’un acteur est effectivement en mesure d’engager</w:t>
      </w:r>
      <w:r>
        <w:t xml:space="preserve">.</w:t>
      </w:r>
    </w:p>
    <w:bookmarkEnd w:id="22"/>
    <w:bookmarkStart w:id="23" w:name="structure-conceptuelle"/>
    <w:p>
      <w:pPr>
        <w:pStyle w:val="Heading2"/>
      </w:pPr>
      <w:r>
        <w:t xml:space="preserve">1.2 Structure conceptuelle</w:t>
      </w:r>
    </w:p>
    <w:p>
      <w:pPr>
        <w:pStyle w:val="SourceCode"/>
      </w:pPr>
      <w:r>
        <w:rPr>
          <w:rStyle w:val="VerbatimChar"/>
        </w:rPr>
        <w:t xml:space="preserve">Sujet</w:t>
      </w:r>
      <w:r>
        <w:br/>
      </w:r>
      <w:r>
        <w:rPr>
          <w:rStyle w:val="VerbatimChar"/>
        </w:rPr>
        <w:t xml:space="preserve">  +</w:t>
      </w:r>
      <w:r>
        <w:br/>
      </w:r>
      <w:r>
        <w:rPr>
          <w:rStyle w:val="VerbatimChar"/>
        </w:rPr>
        <w:t xml:space="preserve">Ressources</w:t>
      </w:r>
      <w:r>
        <w:br/>
      </w:r>
      <w:r>
        <w:rPr>
          <w:rStyle w:val="VerbatimChar"/>
        </w:rPr>
        <w:t xml:space="preserve">  +</w:t>
      </w:r>
      <w:r>
        <w:br/>
      </w:r>
      <w:r>
        <w:rPr>
          <w:rStyle w:val="VerbatimChar"/>
        </w:rPr>
        <w:t xml:space="preserve">Aptitudes</w:t>
      </w:r>
      <w:r>
        <w:br/>
      </w:r>
      <w:r>
        <w:rPr>
          <w:rStyle w:val="VerbatimChar"/>
        </w:rPr>
        <w:t xml:space="preserve">  +</w:t>
      </w:r>
      <w:r>
        <w:br/>
      </w:r>
      <w:r>
        <w:rPr>
          <w:rStyle w:val="VerbatimChar"/>
        </w:rPr>
        <w:t xml:space="preserve">Contraintes opérationnelles</w:t>
      </w:r>
      <w:r>
        <w:br/>
      </w:r>
      <w:r>
        <w:rPr>
          <w:rStyle w:val="VerbatimChar"/>
        </w:rPr>
        <w:t xml:space="preserve">  +</w:t>
      </w:r>
      <w:r>
        <w:br/>
      </w:r>
      <w:r>
        <w:rPr>
          <w:rStyle w:val="VerbatimChar"/>
        </w:rPr>
        <w:t xml:space="preserve">Périmètre spatial</w:t>
      </w:r>
      <w:r>
        <w:br/>
      </w:r>
      <w:r>
        <w:rPr>
          <w:rStyle w:val="VerbatimChar"/>
        </w:rPr>
        <w:t xml:space="preserve">  +</w:t>
      </w:r>
      <w:r>
        <w:br/>
      </w:r>
      <w:r>
        <w:rPr>
          <w:rStyle w:val="VerbatimChar"/>
        </w:rPr>
        <w:t xml:space="preserve">Fenêtre temporelle</w:t>
      </w:r>
      <w:r>
        <w:br/>
      </w:r>
      <w:r>
        <w:rPr>
          <w:rStyle w:val="VerbatimChar"/>
        </w:rPr>
        <w:t xml:space="preserve">  +</w:t>
      </w:r>
      <w:r>
        <w:br/>
      </w:r>
      <w:r>
        <w:rPr>
          <w:rStyle w:val="VerbatimChar"/>
        </w:rPr>
        <w:t xml:space="preserve">Disponibilité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CAPACITÉ ÉCHANGEABLE</w:t>
      </w:r>
    </w:p>
    <w:p>
      <w:pPr>
        <w:pStyle w:val="FirstParagraph"/>
      </w:pPr>
      <w:r>
        <w:t xml:space="preserve">Exemples :</w:t>
      </w:r>
    </w:p>
    <w:p>
      <w:pPr>
        <w:pStyle w:val="Compact"/>
        <w:numPr>
          <w:ilvl w:val="0"/>
          <w:numId w:val="1004"/>
        </w:numPr>
      </w:pPr>
      <w:r>
        <w:t xml:space="preserve">opérateur à moto disponible dans une zone ;</w:t>
      </w:r>
    </w:p>
    <w:p>
      <w:pPr>
        <w:pStyle w:val="Compact"/>
        <w:numPr>
          <w:ilvl w:val="0"/>
          <w:numId w:val="1004"/>
        </w:numPr>
      </w:pPr>
      <w:r>
        <w:t xml:space="preserve">opérateur + véhicule utilitaire ;</w:t>
      </w:r>
    </w:p>
    <w:p>
      <w:pPr>
        <w:pStyle w:val="Compact"/>
        <w:numPr>
          <w:ilvl w:val="0"/>
          <w:numId w:val="1004"/>
        </w:numPr>
      </w:pPr>
      <w:r>
        <w:t xml:space="preserve">équipe opérant un véhicule ;</w:t>
      </w:r>
    </w:p>
    <w:p>
      <w:pPr>
        <w:pStyle w:val="Compact"/>
        <w:numPr>
          <w:ilvl w:val="0"/>
          <w:numId w:val="1004"/>
        </w:numPr>
      </w:pPr>
      <w:r>
        <w:t xml:space="preserve">capacité organisationnelle provenant d’une flotte ;</w:t>
      </w:r>
    </w:p>
    <w:p>
      <w:pPr>
        <w:pStyle w:val="Compact"/>
        <w:numPr>
          <w:ilvl w:val="0"/>
          <w:numId w:val="1004"/>
        </w:numPr>
      </w:pPr>
      <w:r>
        <w:t xml:space="preserve">capacité spécialisée pour un type de colis ou de mission.</w:t>
      </w:r>
    </w:p>
    <w:bookmarkEnd w:id="23"/>
    <w:bookmarkStart w:id="24" w:name="décision-structurante"/>
    <w:p>
      <w:pPr>
        <w:pStyle w:val="Heading2"/>
      </w:pPr>
      <w:r>
        <w:t xml:space="preserve">1.3 Décision structurante</w:t>
      </w:r>
    </w:p>
    <w:p>
      <w:pPr>
        <w:pStyle w:val="FirstParagraph"/>
      </w:pPr>
      <w:r>
        <w:t xml:space="preserve">Le système échange une</w:t>
      </w:r>
      <w:r>
        <w:t xml:space="preserve"> </w:t>
      </w:r>
      <w:r>
        <w:rPr>
          <w:b/>
          <w:bCs/>
        </w:rPr>
        <w:t xml:space="preserve">capacité</w:t>
      </w:r>
      <w:r>
        <w:t xml:space="preserve">, pas nécessairement la personne ou le véhicule eux-mêmes.</w:t>
      </w:r>
    </w:p>
    <w:p>
      <w:pPr>
        <w:pStyle w:val="BodyText"/>
      </w:pPr>
      <w:r>
        <w:t xml:space="preserve">Cela permet de préserver :</w:t>
      </w:r>
    </w:p>
    <w:p>
      <w:pPr>
        <w:pStyle w:val="SourceCode"/>
      </w:pPr>
      <w:r>
        <w:rPr>
          <w:rStyle w:val="VerbatimChar"/>
        </w:rPr>
        <w:t xml:space="preserve">Personne ≠ Capacité</w:t>
      </w:r>
      <w:r>
        <w:br/>
      </w:r>
      <w:r>
        <w:rPr>
          <w:rStyle w:val="VerbatimChar"/>
        </w:rPr>
        <w:t xml:space="preserve">Véhicule ≠ Capacité</w:t>
      </w:r>
      <w:r>
        <w:br/>
      </w:r>
      <w:r>
        <w:rPr>
          <w:rStyle w:val="VerbatimChar"/>
        </w:rPr>
        <w:t xml:space="preserve">Disponibilité ≠ Capacité</w:t>
      </w:r>
      <w:r>
        <w:br/>
      </w:r>
      <w:r>
        <w:rPr>
          <w:rStyle w:val="VerbatimChar"/>
        </w:rPr>
        <w:t xml:space="preserve">Organisation ≠ Capacité</w:t>
      </w:r>
    </w:p>
    <w:p>
      <w:pPr>
        <w:pStyle w:val="FirstParagraph"/>
      </w:pPr>
      <w:r>
        <w:t xml:space="preserve">Une capacité peut être temporairement disponible, engagée, suspendue ou retirée sans que l’identité du sujet disparaisse.</w:t>
      </w:r>
    </w:p>
    <w:bookmarkEnd w:id="24"/>
    <w:bookmarkStart w:id="25" w:name="conséquence-stratégique"/>
    <w:p>
      <w:pPr>
        <w:pStyle w:val="Heading2"/>
      </w:pPr>
      <w:r>
        <w:t xml:space="preserve">1.4 Conséquence stratégique</w:t>
      </w:r>
    </w:p>
    <w:p>
      <w:pPr>
        <w:pStyle w:val="FirstParagraph"/>
      </w:pPr>
      <w:r>
        <w:t xml:space="preserve">Cette définition permet au réseau de grandir sans imposer un modèle unique d’organisation.</w:t>
      </w:r>
    </w:p>
    <w:p>
      <w:pPr>
        <w:pStyle w:val="BodyText"/>
      </w:pPr>
      <w:r>
        <w:rPr>
          <w:b/>
          <w:bCs/>
        </w:rPr>
        <w:t xml:space="preserve">Statut : DÉCISION DDD.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aec24a7b6516ed104530c56f06d0822cfa1d648"/>
    <w:p>
      <w:pPr>
        <w:pStyle w:val="Heading1"/>
      </w:pPr>
      <w:r>
        <w:t xml:space="preserve">2. Question Q2 — Qu’est-ce qu’un engagement de capacité ?</w:t>
      </w:r>
    </w:p>
    <w:bookmarkStart w:id="27" w:name="décision-1"/>
    <w:p>
      <w:pPr>
        <w:pStyle w:val="Heading2"/>
      </w:pPr>
      <w:r>
        <w:t xml:space="preserve">2.1 Décision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Engagement de capacité</w:t>
      </w:r>
      <w:r>
        <w:t xml:space="preserve"> </w:t>
      </w:r>
      <w:r>
        <w:t xml:space="preserve">est le moment métier où une capacité accepte une opportunité d’exécution et devient réservée/obligée pour le périmètre convenu, sous les règles applicables.</w:t>
      </w:r>
    </w:p>
    <w:p>
      <w:pPr>
        <w:pStyle w:val="BodyText"/>
      </w:pPr>
      <w:r>
        <w:t xml:space="preserve">Il est distinct de :</w:t>
      </w:r>
    </w:p>
    <w:p>
      <w:pPr>
        <w:pStyle w:val="SourceCode"/>
      </w:pPr>
      <w:r>
        <w:rPr>
          <w:rStyle w:val="VerbatimChar"/>
        </w:rPr>
        <w:t xml:space="preserve">Disponibilité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Éligibilité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Proposition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Acceptation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Prise en charge</w:t>
      </w:r>
    </w:p>
    <w:bookmarkEnd w:id="27"/>
    <w:bookmarkStart w:id="28" w:name="invariant"/>
    <w:p>
      <w:pPr>
        <w:pStyle w:val="Heading2"/>
      </w:pPr>
      <w:r>
        <w:t xml:space="preserve">2.2 Invariant</w:t>
      </w:r>
    </w:p>
    <w:p>
      <w:pPr>
        <w:pStyle w:val="BlockText"/>
      </w:pPr>
      <w:r>
        <w:rPr>
          <w:b/>
          <w:bCs/>
        </w:rPr>
        <w:t xml:space="preserve">Une capacité ne devient pas engagée parce qu’elle est disponible ou parce qu’elle a été proposée. Elle devient engagée après une acceptation valide de l’opportunité.</w:t>
      </w:r>
    </w:p>
    <w:bookmarkEnd w:id="28"/>
    <w:bookmarkStart w:id="29" w:name="engagement-garde"/>
    <w:p>
      <w:pPr>
        <w:pStyle w:val="Heading2"/>
      </w:pPr>
      <w:r>
        <w:t xml:space="preserve">2.3 Engagement ≠ garde</w:t>
      </w:r>
    </w:p>
    <w:p>
      <w:pPr>
        <w:pStyle w:val="FirstParagraph"/>
      </w:pPr>
      <w:r>
        <w:t xml:space="preserve">Un engagement peut exister avant la prise en charge physique.</w:t>
      </w:r>
    </w:p>
    <w:p>
      <w:pPr>
        <w:pStyle w:val="SourceCode"/>
      </w:pP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Garde physique</w:t>
      </w:r>
    </w:p>
    <w:p>
      <w:pPr>
        <w:pStyle w:val="FirstParagraph"/>
      </w:pPr>
      <w:r>
        <w:t xml:space="preserve">La garde commence seulement après la prise en charge confirmée.</w:t>
      </w:r>
    </w:p>
    <w:bookmarkEnd w:id="29"/>
    <w:bookmarkStart w:id="30" w:name="effet-sur-la-disponibilité"/>
    <w:p>
      <w:pPr>
        <w:pStyle w:val="Heading2"/>
      </w:pPr>
      <w:r>
        <w:t xml:space="preserve">2.4 Effet sur la disponibilité</w:t>
      </w:r>
    </w:p>
    <w:p>
      <w:pPr>
        <w:pStyle w:val="FirstParagraph"/>
      </w:pPr>
      <w:r>
        <w:t xml:space="preserve">Une capacité engagée ne doit plus être considérée comme totalement disponible pour une opportunité incompatible.</w:t>
      </w:r>
    </w:p>
    <w:p>
      <w:pPr>
        <w:pStyle w:val="BodyText"/>
      </w:pPr>
      <w:r>
        <w:t xml:space="preserve">Elle peut cependant conserver une capacité résiduelle si le modèle permet la concurrence contrôlée de plusieurs missions.</w:t>
      </w:r>
    </w:p>
    <w:p>
      <w:pPr>
        <w:pStyle w:val="BodyText"/>
      </w:pPr>
      <w:r>
        <w:t xml:space="preserve">Cette question sera traitée au DDD tactique et par les règles opérationnelles de concurrence.</w:t>
      </w:r>
    </w:p>
    <w:p>
      <w:pPr>
        <w:pStyle w:val="BodyText"/>
      </w:pPr>
      <w:r>
        <w:rPr>
          <w:b/>
          <w:bCs/>
        </w:rPr>
        <w:t xml:space="preserve">Statut : DÉCISION DDD.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f428bf757a5e6c4e3b0b29cd4b9546fd4656833"/>
    <w:p>
      <w:pPr>
        <w:pStyle w:val="Heading1"/>
      </w:pPr>
      <w:r>
        <w:t xml:space="preserve">3. Question Q3 — Quelle est l’unité exacte de l’échange ?</w:t>
      </w:r>
    </w:p>
    <w:bookmarkStart w:id="32" w:name="décision-2"/>
    <w:p>
      <w:pPr>
        <w:pStyle w:val="Heading2"/>
      </w:pPr>
      <w:r>
        <w:t xml:space="preserve">3.1 Décision</w:t>
      </w:r>
    </w:p>
    <w:p>
      <w:pPr>
        <w:pStyle w:val="FirstParagraph"/>
      </w:pPr>
      <w:r>
        <w:t xml:space="preserve">L’unité d’échange n’est pas la mission complète.</w:t>
      </w:r>
    </w:p>
    <w:p>
      <w:pPr>
        <w:pStyle w:val="BodyText"/>
      </w:pPr>
      <w:r>
        <w:t xml:space="preserve">L’unité d’échange est une</w:t>
      </w:r>
      <w:r>
        <w:t xml:space="preserve"> </w:t>
      </w:r>
      <w:r>
        <w:rPr>
          <w:b/>
          <w:bCs/>
        </w:rPr>
        <w:t xml:space="preserve">Opportunité d’exécution</w:t>
      </w:r>
      <w:r>
        <w:t xml:space="preserve">, généralement attachée à une</w:t>
      </w:r>
      <w:r>
        <w:t xml:space="preserve"> </w:t>
      </w:r>
      <w:r>
        <w:rPr>
          <w:b/>
          <w:bCs/>
        </w:rPr>
        <w:t xml:space="preserve">Étape de mission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Mission</w:t>
      </w:r>
      <w:r>
        <w:br/>
      </w:r>
      <w:r>
        <w:rPr>
          <w:rStyle w:val="VerbatimChar"/>
        </w:rPr>
        <w:t xml:space="preserve">  ├── Étape 1</w:t>
      </w:r>
      <w:r>
        <w:br/>
      </w:r>
      <w:r>
        <w:rPr>
          <w:rStyle w:val="VerbatimChar"/>
        </w:rPr>
        <w:t xml:space="preserve">  │     └── Opportunité d'exécution</w:t>
      </w:r>
      <w:r>
        <w:br/>
      </w:r>
      <w:r>
        <w:rPr>
          <w:rStyle w:val="VerbatimChar"/>
        </w:rPr>
        <w:t xml:space="preserve">  ├── Étape 2</w:t>
      </w:r>
      <w:r>
        <w:br/>
      </w:r>
      <w:r>
        <w:rPr>
          <w:rStyle w:val="VerbatimChar"/>
        </w:rPr>
        <w:t xml:space="preserve">  │     └── Opportunité d'exécution</w:t>
      </w:r>
      <w:r>
        <w:br/>
      </w:r>
      <w:r>
        <w:rPr>
          <w:rStyle w:val="VerbatimChar"/>
        </w:rPr>
        <w:t xml:space="preserve">  └── Étape 3</w:t>
      </w:r>
      <w:r>
        <w:br/>
      </w:r>
      <w:r>
        <w:rPr>
          <w:rStyle w:val="VerbatimChar"/>
        </w:rPr>
        <w:t xml:space="preserve">        └── Opportunité d'exécution</w:t>
      </w:r>
    </w:p>
    <w:bookmarkEnd w:id="32"/>
    <w:bookmarkStart w:id="33" w:name="pourquoi"/>
    <w:p>
      <w:pPr>
        <w:pStyle w:val="Heading2"/>
      </w:pPr>
      <w:r>
        <w:t xml:space="preserve">3.2 Pourquoi ?</w:t>
      </w:r>
    </w:p>
    <w:p>
      <w:pPr>
        <w:pStyle w:val="FirstParagraph"/>
      </w:pPr>
      <w:r>
        <w:t xml:space="preserve">Cela permet :</w:t>
      </w:r>
    </w:p>
    <w:p>
      <w:pPr>
        <w:pStyle w:val="Compact"/>
        <w:numPr>
          <w:ilvl w:val="0"/>
          <w:numId w:val="1005"/>
        </w:numPr>
      </w:pPr>
      <w:r>
        <w:t xml:space="preserve">la délégation partielle ;</w:t>
      </w:r>
    </w:p>
    <w:p>
      <w:pPr>
        <w:pStyle w:val="Compact"/>
        <w:numPr>
          <w:ilvl w:val="0"/>
          <w:numId w:val="1005"/>
        </w:numPr>
      </w:pPr>
      <w:r>
        <w:t xml:space="preserve">les points de transfert ;</w:t>
      </w:r>
    </w:p>
    <w:p>
      <w:pPr>
        <w:pStyle w:val="Compact"/>
        <w:numPr>
          <w:ilvl w:val="0"/>
          <w:numId w:val="1005"/>
        </w:numPr>
      </w:pPr>
      <w:r>
        <w:t xml:space="preserve">les parcours multi-étapes ;</w:t>
      </w:r>
    </w:p>
    <w:p>
      <w:pPr>
        <w:pStyle w:val="Compact"/>
        <w:numPr>
          <w:ilvl w:val="0"/>
          <w:numId w:val="1005"/>
        </w:numPr>
      </w:pPr>
      <w:r>
        <w:t xml:space="preserve">les missions interurbaines futures ;</w:t>
      </w:r>
    </w:p>
    <w:p>
      <w:pPr>
        <w:pStyle w:val="Compact"/>
        <w:numPr>
          <w:ilvl w:val="0"/>
          <w:numId w:val="1005"/>
        </w:numPr>
      </w:pPr>
      <w:r>
        <w:t xml:space="preserve">la circulation de capacités sans transférer toute la mission ;</w:t>
      </w:r>
    </w:p>
    <w:p>
      <w:pPr>
        <w:pStyle w:val="Compact"/>
        <w:numPr>
          <w:ilvl w:val="0"/>
          <w:numId w:val="1005"/>
        </w:numPr>
      </w:pPr>
      <w:r>
        <w:t xml:space="preserve">plusieurs acteurs successifs ;</w:t>
      </w:r>
    </w:p>
    <w:p>
      <w:pPr>
        <w:pStyle w:val="Compact"/>
        <w:numPr>
          <w:ilvl w:val="0"/>
          <w:numId w:val="1005"/>
        </w:numPr>
      </w:pPr>
      <w:r>
        <w:t xml:space="preserve">la composition de tournées.</w:t>
      </w:r>
    </w:p>
    <w:bookmarkEnd w:id="33"/>
    <w:bookmarkStart w:id="34" w:name="distinction-fondamentale"/>
    <w:p>
      <w:pPr>
        <w:pStyle w:val="Heading2"/>
      </w:pPr>
      <w:r>
        <w:t xml:space="preserve">3.3 Distinction fondamentale</w:t>
      </w:r>
    </w:p>
    <w:p>
      <w:pPr>
        <w:pStyle w:val="SourceCode"/>
      </w:pPr>
      <w:r>
        <w:rPr>
          <w:rStyle w:val="VerbatimChar"/>
        </w:rPr>
        <w:t xml:space="preserve">Mission</w:t>
      </w:r>
      <w:r>
        <w:br/>
      </w:r>
      <w:r>
        <w:rPr>
          <w:rStyle w:val="VerbatimChar"/>
        </w:rPr>
        <w:t xml:space="preserve">= intention et coordination globale</w:t>
      </w:r>
      <w:r>
        <w:br/>
      </w:r>
      <w:r>
        <w:br/>
      </w:r>
      <w:r>
        <w:rPr>
          <w:rStyle w:val="VerbatimChar"/>
        </w:rPr>
        <w:t xml:space="preserve">Étape</w:t>
      </w:r>
      <w:r>
        <w:br/>
      </w:r>
      <w:r>
        <w:rPr>
          <w:rStyle w:val="VerbatimChar"/>
        </w:rPr>
        <w:t xml:space="preserve">= segment opérationnel du parcours</w:t>
      </w:r>
      <w:r>
        <w:br/>
      </w:r>
      <w:r>
        <w:br/>
      </w:r>
      <w:r>
        <w:rPr>
          <w:rStyle w:val="VerbatimChar"/>
        </w:rPr>
        <w:t xml:space="preserve">Opportunité</w:t>
      </w:r>
      <w:r>
        <w:br/>
      </w:r>
      <w:r>
        <w:rPr>
          <w:rStyle w:val="VerbatimChar"/>
        </w:rPr>
        <w:t xml:space="preserve">= unité proposée à une capacité</w:t>
      </w:r>
      <w:r>
        <w:br/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= acceptation de cette opportunité</w:t>
      </w:r>
      <w:r>
        <w:br/>
      </w:r>
      <w:r>
        <w:br/>
      </w:r>
      <w:r>
        <w:rPr>
          <w:rStyle w:val="VerbatimChar"/>
        </w:rPr>
        <w:t xml:space="preserve">Prise en charge</w:t>
      </w:r>
      <w:r>
        <w:br/>
      </w:r>
      <w:r>
        <w:rPr>
          <w:rStyle w:val="VerbatimChar"/>
        </w:rPr>
        <w:t xml:space="preserve">= début de la garde physique</w:t>
      </w:r>
    </w:p>
    <w:p>
      <w:pPr>
        <w:pStyle w:val="FirstParagraph"/>
      </w:pPr>
      <w:r>
        <w:t xml:space="preserve">Cette distinction devient un élément central du langage ubiquitaire.</w:t>
      </w:r>
    </w:p>
    <w:bookmarkEnd w:id="34"/>
    <w:bookmarkStart w:id="35" w:name="cas-dune-livraison-simple"/>
    <w:p>
      <w:pPr>
        <w:pStyle w:val="Heading2"/>
      </w:pPr>
      <w:r>
        <w:t xml:space="preserve">3.4 Cas d’une livraison simple</w:t>
      </w:r>
    </w:p>
    <w:p>
      <w:pPr>
        <w:pStyle w:val="FirstParagraph"/>
      </w:pPr>
      <w:r>
        <w:t xml:space="preserve">Une mission peut ne comporter qu’une seule étape.</w:t>
      </w:r>
    </w:p>
    <w:p>
      <w:pPr>
        <w:pStyle w:val="BodyText"/>
      </w:pPr>
      <w:r>
        <w:t xml:space="preserve">Dans ce cas :</w:t>
      </w:r>
    </w:p>
    <w:p>
      <w:pPr>
        <w:pStyle w:val="SourceCode"/>
      </w:pPr>
      <w:r>
        <w:rPr>
          <w:rStyle w:val="VerbatimChar"/>
        </w:rPr>
        <w:t xml:space="preserve">Mission</w:t>
      </w:r>
      <w:r>
        <w:br/>
      </w:r>
      <w:r>
        <w:rPr>
          <w:rStyle w:val="VerbatimChar"/>
        </w:rPr>
        <w:t xml:space="preserve">  → Étape unique</w:t>
      </w:r>
      <w:r>
        <w:br/>
      </w:r>
      <w:r>
        <w:rPr>
          <w:rStyle w:val="VerbatimChar"/>
        </w:rPr>
        <w:t xml:space="preserve">      → Opportunité</w:t>
      </w:r>
      <w:r>
        <w:br/>
      </w:r>
      <w:r>
        <w:rPr>
          <w:rStyle w:val="VerbatimChar"/>
        </w:rPr>
        <w:t xml:space="preserve">          → Engagement</w:t>
      </w:r>
      <w:r>
        <w:br/>
      </w:r>
      <w:r>
        <w:rPr>
          <w:rStyle w:val="VerbatimChar"/>
        </w:rPr>
        <w:t xml:space="preserve">              → Prise en charge</w:t>
      </w:r>
    </w:p>
    <w:p>
      <w:pPr>
        <w:pStyle w:val="FirstParagraph"/>
      </w:pPr>
      <w:r>
        <w:t xml:space="preserve">La complexité supplémentaire n’est donc introduite que lorsqu’elle est réellement nécessaire.</w:t>
      </w:r>
    </w:p>
    <w:p>
      <w:pPr>
        <w:pStyle w:val="BodyText"/>
      </w:pPr>
      <w:r>
        <w:rPr>
          <w:b/>
          <w:bCs/>
        </w:rPr>
        <w:t xml:space="preserve">Statut : DÉCISION DDD.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28e2bef6e12945a40149a03f34abaec9ac9c348"/>
    <w:p>
      <w:pPr>
        <w:pStyle w:val="Heading1"/>
      </w:pPr>
      <w:r>
        <w:t xml:space="preserve">4. Question Q4 — Compatibilité vs optimisation</w:t>
      </w:r>
    </w:p>
    <w:bookmarkStart w:id="39" w:name="décision-3"/>
    <w:p>
      <w:pPr>
        <w:pStyle w:val="Heading2"/>
      </w:pPr>
      <w:r>
        <w:t xml:space="preserve">4.1 Décision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Compatibilité</w:t>
      </w:r>
      <w:r>
        <w:t xml:space="preserve"> </w:t>
      </w:r>
      <w:r>
        <w:t xml:space="preserve">et l’</w:t>
      </w:r>
      <w:r>
        <w:rPr>
          <w:b/>
          <w:bCs/>
        </w:rPr>
        <w:t xml:space="preserve">Optimisation</w:t>
      </w:r>
      <w:r>
        <w:t xml:space="preserve"> </w:t>
      </w:r>
      <w:r>
        <w:t xml:space="preserve">sont deux concepts différents.</w:t>
      </w:r>
    </w:p>
    <w:bookmarkStart w:id="37" w:name="compatibilité"/>
    <w:p>
      <w:pPr>
        <w:pStyle w:val="Heading3"/>
      </w:pPr>
      <w:r>
        <w:t xml:space="preserve">Compatibilité</w:t>
      </w:r>
    </w:p>
    <w:p>
      <w:pPr>
        <w:pStyle w:val="FirstParagraph"/>
      </w:pPr>
      <w:r>
        <w:t xml:space="preserve">Répond :</w:t>
      </w:r>
    </w:p>
    <w:p>
      <w:pPr>
        <w:pStyle w:val="BlockText"/>
      </w:pPr>
      <w:r>
        <w:t xml:space="preserve">Cette capacité peut-elle raisonnablement exécuter cette opportunité ?</w:t>
      </w:r>
    </w:p>
    <w:p>
      <w:pPr>
        <w:pStyle w:val="FirstParagraph"/>
      </w:pPr>
      <w:r>
        <w:t xml:space="preserve">Elle vérifie des contraintes métier.</w:t>
      </w:r>
    </w:p>
    <w:p>
      <w:pPr>
        <w:pStyle w:val="BodyText"/>
      </w:pPr>
      <w:r>
        <w:t xml:space="preserve">Exemples :</w:t>
      </w:r>
    </w:p>
    <w:p>
      <w:pPr>
        <w:pStyle w:val="Compact"/>
        <w:numPr>
          <w:ilvl w:val="0"/>
          <w:numId w:val="1006"/>
        </w:numPr>
      </w:pPr>
      <w:r>
        <w:t xml:space="preserve">zone ;</w:t>
      </w:r>
    </w:p>
    <w:p>
      <w:pPr>
        <w:pStyle w:val="Compact"/>
        <w:numPr>
          <w:ilvl w:val="0"/>
          <w:numId w:val="1006"/>
        </w:numPr>
      </w:pPr>
      <w:r>
        <w:t xml:space="preserve">fenêtre temporelle ;</w:t>
      </w:r>
    </w:p>
    <w:p>
      <w:pPr>
        <w:pStyle w:val="Compact"/>
        <w:numPr>
          <w:ilvl w:val="0"/>
          <w:numId w:val="1006"/>
        </w:numPr>
      </w:pPr>
      <w:r>
        <w:t xml:space="preserve">type de véhicule ;</w:t>
      </w:r>
    </w:p>
    <w:p>
      <w:pPr>
        <w:pStyle w:val="Compact"/>
        <w:numPr>
          <w:ilvl w:val="0"/>
          <w:numId w:val="1006"/>
        </w:numPr>
      </w:pPr>
      <w:r>
        <w:t xml:space="preserve">type de colis ;</w:t>
      </w:r>
    </w:p>
    <w:p>
      <w:pPr>
        <w:pStyle w:val="Compact"/>
        <w:numPr>
          <w:ilvl w:val="0"/>
          <w:numId w:val="1006"/>
        </w:numPr>
      </w:pPr>
      <w:r>
        <w:t xml:space="preserve">charge ;</w:t>
      </w:r>
    </w:p>
    <w:p>
      <w:pPr>
        <w:pStyle w:val="Compact"/>
        <w:numPr>
          <w:ilvl w:val="0"/>
          <w:numId w:val="1006"/>
        </w:numPr>
      </w:pPr>
      <w:r>
        <w:t xml:space="preserve">aptitude ;</w:t>
      </w:r>
    </w:p>
    <w:p>
      <w:pPr>
        <w:pStyle w:val="Compact"/>
        <w:numPr>
          <w:ilvl w:val="0"/>
          <w:numId w:val="1006"/>
        </w:numPr>
      </w:pPr>
      <w:r>
        <w:t xml:space="preserve">autorisation ;</w:t>
      </w:r>
    </w:p>
    <w:p>
      <w:pPr>
        <w:pStyle w:val="Compact"/>
        <w:numPr>
          <w:ilvl w:val="0"/>
          <w:numId w:val="1006"/>
        </w:numPr>
      </w:pPr>
      <w:r>
        <w:t xml:space="preserve">contraintes de mission ;</w:t>
      </w:r>
    </w:p>
    <w:p>
      <w:pPr>
        <w:pStyle w:val="Compact"/>
        <w:numPr>
          <w:ilvl w:val="0"/>
          <w:numId w:val="1006"/>
        </w:numPr>
      </w:pPr>
      <w:r>
        <w:t xml:space="preserve">incompatibilité avec un engagement existant.</w:t>
      </w:r>
    </w:p>
    <w:p>
      <w:pPr>
        <w:pStyle w:val="FirstParagraph"/>
      </w:pPr>
      <w:r>
        <w:t xml:space="preserve">La compatibilité produit un ensemble de capacités admissibles.</w:t>
      </w:r>
    </w:p>
    <w:bookmarkEnd w:id="37"/>
    <w:bookmarkStart w:id="38" w:name="optimisation"/>
    <w:p>
      <w:pPr>
        <w:pStyle w:val="Heading3"/>
      </w:pPr>
      <w:r>
        <w:t xml:space="preserve">Optimisation</w:t>
      </w:r>
    </w:p>
    <w:p>
      <w:pPr>
        <w:pStyle w:val="FirstParagraph"/>
      </w:pPr>
      <w:r>
        <w:t xml:space="preserve">Répond :</w:t>
      </w:r>
    </w:p>
    <w:p>
      <w:pPr>
        <w:pStyle w:val="BlockText"/>
      </w:pPr>
      <w:r>
        <w:t xml:space="preserve">Parmi les capacités admissibles, laquelle ou quelle combinaison produit le meilleur résultat selon les objectifs retenus ?</w:t>
      </w:r>
    </w:p>
    <w:p>
      <w:pPr>
        <w:pStyle w:val="FirstParagraph"/>
      </w:pPr>
      <w:r>
        <w:t xml:space="preserve">Elle peut prendre en compte :</w:t>
      </w:r>
    </w:p>
    <w:p>
      <w:pPr>
        <w:pStyle w:val="Compact"/>
        <w:numPr>
          <w:ilvl w:val="0"/>
          <w:numId w:val="1007"/>
        </w:numPr>
      </w:pPr>
      <w:r>
        <w:t xml:space="preserve">temps ;</w:t>
      </w:r>
    </w:p>
    <w:p>
      <w:pPr>
        <w:pStyle w:val="Compact"/>
        <w:numPr>
          <w:ilvl w:val="0"/>
          <w:numId w:val="1007"/>
        </w:numPr>
      </w:pPr>
      <w:r>
        <w:t xml:space="preserve">distance ;</w:t>
      </w:r>
    </w:p>
    <w:p>
      <w:pPr>
        <w:pStyle w:val="Compact"/>
        <w:numPr>
          <w:ilvl w:val="0"/>
          <w:numId w:val="1007"/>
        </w:numPr>
      </w:pPr>
      <w:r>
        <w:t xml:space="preserve">détour ;</w:t>
      </w:r>
    </w:p>
    <w:p>
      <w:pPr>
        <w:pStyle w:val="Compact"/>
        <w:numPr>
          <w:ilvl w:val="0"/>
          <w:numId w:val="1007"/>
        </w:numPr>
      </w:pPr>
      <w:r>
        <w:t xml:space="preserve">coût ;</w:t>
      </w:r>
    </w:p>
    <w:p>
      <w:pPr>
        <w:pStyle w:val="Compact"/>
        <w:numPr>
          <w:ilvl w:val="0"/>
          <w:numId w:val="1007"/>
        </w:numPr>
      </w:pPr>
      <w:r>
        <w:t xml:space="preserve">revenu ;</w:t>
      </w:r>
    </w:p>
    <w:p>
      <w:pPr>
        <w:pStyle w:val="Compact"/>
        <w:numPr>
          <w:ilvl w:val="0"/>
          <w:numId w:val="1007"/>
        </w:numPr>
      </w:pPr>
      <w:r>
        <w:t xml:space="preserve">taux d’utilisation ;</w:t>
      </w:r>
    </w:p>
    <w:p>
      <w:pPr>
        <w:pStyle w:val="Compact"/>
        <w:numPr>
          <w:ilvl w:val="0"/>
          <w:numId w:val="1007"/>
        </w:numPr>
      </w:pPr>
      <w:r>
        <w:t xml:space="preserve">priorité ;</w:t>
      </w:r>
    </w:p>
    <w:p>
      <w:pPr>
        <w:pStyle w:val="Compact"/>
        <w:numPr>
          <w:ilvl w:val="0"/>
          <w:numId w:val="1007"/>
        </w:numPr>
      </w:pPr>
      <w:r>
        <w:t xml:space="preserve">fiabilité ;</w:t>
      </w:r>
    </w:p>
    <w:p>
      <w:pPr>
        <w:pStyle w:val="Compact"/>
        <w:numPr>
          <w:ilvl w:val="0"/>
          <w:numId w:val="1007"/>
        </w:numPr>
      </w:pPr>
      <w:r>
        <w:t xml:space="preserve">équilibre du réseau.</w:t>
      </w:r>
    </w:p>
    <w:bookmarkEnd w:id="38"/>
    <w:bookmarkEnd w:id="39"/>
    <w:bookmarkStart w:id="40" w:name="règle"/>
    <w:p>
      <w:pPr>
        <w:pStyle w:val="Heading2"/>
      </w:pPr>
      <w:r>
        <w:t xml:space="preserve">4.2 Règle</w:t>
      </w:r>
    </w:p>
    <w:p>
      <w:pPr>
        <w:pStyle w:val="BlockText"/>
      </w:pPr>
      <w:r>
        <w:rPr>
          <w:b/>
          <w:bCs/>
        </w:rPr>
        <w:t xml:space="preserve">L’optimisation ne doit jamais rendre compatible une capacité qui viole une contrainte métier.</w:t>
      </w:r>
    </w:p>
    <w:p>
      <w:pPr>
        <w:pStyle w:val="FirstParagraph"/>
      </w:pPr>
      <w:r>
        <w:t xml:space="preserve">Donc :</w:t>
      </w:r>
    </w:p>
    <w:p>
      <w:pPr>
        <w:pStyle w:val="SourceCode"/>
      </w:pPr>
      <w:r>
        <w:rPr>
          <w:rStyle w:val="VerbatimChar"/>
        </w:rPr>
        <w:t xml:space="preserve">Contraintes métier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COMPATIBILITÉ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ensemble admissible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OPTIMISATION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classement / sélection</w:t>
      </w:r>
    </w:p>
    <w:bookmarkEnd w:id="40"/>
    <w:bookmarkStart w:id="41" w:name="frontière-ddd"/>
    <w:p>
      <w:pPr>
        <w:pStyle w:val="Heading2"/>
      </w:pPr>
      <w:r>
        <w:t xml:space="preserve">4.3 Frontière DDD</w:t>
      </w:r>
    </w:p>
    <w:p>
      <w:pPr>
        <w:pStyle w:val="FirstParagraph"/>
      </w:pPr>
      <w:r>
        <w:rPr>
          <w:rStyle w:val="VerbatimChar"/>
        </w:rPr>
        <w:t xml:space="preserve">Capacity Exchange</w:t>
      </w:r>
      <w:r>
        <w:t xml:space="preserve"> </w:t>
      </w:r>
      <w:r>
        <w:t xml:space="preserve">possède le concept d’opportunité, d’éligibilité et de compatibilité.</w:t>
      </w:r>
    </w:p>
    <w:p>
      <w:pPr>
        <w:pStyle w:val="BodyText"/>
      </w:pPr>
      <w:r>
        <w:t xml:space="preserve">Une capacité d’optimisation peut consommer ces informations sans devenir propriétaire de la vérité métier.</w:t>
      </w:r>
    </w:p>
    <w:p>
      <w:pPr>
        <w:pStyle w:val="BodyText"/>
      </w:pPr>
      <w:r>
        <w:rPr>
          <w:rStyle w:val="VerbatimChar"/>
        </w:rPr>
        <w:t xml:space="preserve">Location &amp; Journey</w:t>
      </w:r>
      <w:r>
        <w:t xml:space="preserve"> </w:t>
      </w:r>
      <w:r>
        <w:t xml:space="preserve">fournit les données et contraintes spatiales nécessaires.</w:t>
      </w:r>
    </w:p>
    <w:bookmarkEnd w:id="41"/>
    <w:bookmarkStart w:id="42" w:name="conséquence"/>
    <w:p>
      <w:pPr>
        <w:pStyle w:val="Heading2"/>
      </w:pPr>
      <w:r>
        <w:t xml:space="preserve">4.4 Conséquence</w:t>
      </w:r>
    </w:p>
    <w:p>
      <w:pPr>
        <w:pStyle w:val="FirstParagraph"/>
      </w:pPr>
      <w:r>
        <w:t xml:space="preserve">Nous n’avons pas besoin de construire immédiatement un moteur d’optimisation complexe pour valider le Core Domain.</w:t>
      </w:r>
    </w:p>
    <w:p>
      <w:pPr>
        <w:pStyle w:val="BodyText"/>
      </w:pPr>
      <w:r>
        <w:t xml:space="preserve">Le cœur métier existe même avec une sélection simple, tant que la logique d’échange est correcte.</w:t>
      </w:r>
    </w:p>
    <w:p>
      <w:pPr>
        <w:pStyle w:val="BodyText"/>
      </w:pPr>
      <w:r>
        <w:rPr>
          <w:b/>
          <w:bCs/>
        </w:rPr>
        <w:t xml:space="preserve">Statut : DÉCISION DDD.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question-q5-quelle-politique-douverture"/>
    <w:p>
      <w:pPr>
        <w:pStyle w:val="Heading1"/>
      </w:pPr>
      <w:r>
        <w:t xml:space="preserve">5. Question Q5 — Quelle politique d’ouverture ?</w:t>
      </w:r>
    </w:p>
    <w:bookmarkStart w:id="44" w:name="problème"/>
    <w:p>
      <w:pPr>
        <w:pStyle w:val="Heading2"/>
      </w:pPr>
      <w:r>
        <w:t xml:space="preserve">5.1 Problème</w:t>
      </w:r>
    </w:p>
    <w:p>
      <w:pPr>
        <w:pStyle w:val="FirstParagraph"/>
      </w:pPr>
      <w:r>
        <w:t xml:space="preserve">Une mission ouverte ne peut pas être visible indistinctement à tout le réseau.</w:t>
      </w:r>
    </w:p>
    <w:p>
      <w:pPr>
        <w:pStyle w:val="BodyText"/>
      </w:pPr>
      <w:r>
        <w:t xml:space="preserve">Sinon :</w:t>
      </w:r>
    </w:p>
    <w:p>
      <w:pPr>
        <w:pStyle w:val="Compact"/>
        <w:numPr>
          <w:ilvl w:val="0"/>
          <w:numId w:val="1008"/>
        </w:numPr>
      </w:pPr>
      <w:r>
        <w:t xml:space="preserve">les acteurs les plus grands peuvent capter la demande ;</w:t>
      </w:r>
    </w:p>
    <w:p>
      <w:pPr>
        <w:pStyle w:val="Compact"/>
        <w:numPr>
          <w:ilvl w:val="0"/>
          <w:numId w:val="1008"/>
        </w:numPr>
      </w:pPr>
      <w:r>
        <w:t xml:space="preserve">le réseau devient bruyant ;</w:t>
      </w:r>
    </w:p>
    <w:p>
      <w:pPr>
        <w:pStyle w:val="Compact"/>
        <w:numPr>
          <w:ilvl w:val="0"/>
          <w:numId w:val="1008"/>
        </w:numPr>
      </w:pPr>
      <w:r>
        <w:t xml:space="preserve">la confiance baisse ;</w:t>
      </w:r>
    </w:p>
    <w:p>
      <w:pPr>
        <w:pStyle w:val="Compact"/>
        <w:numPr>
          <w:ilvl w:val="0"/>
          <w:numId w:val="1008"/>
        </w:numPr>
      </w:pPr>
      <w:r>
        <w:t xml:space="preserve">les organisations peuvent refuser l’ouverture ;</w:t>
      </w:r>
    </w:p>
    <w:p>
      <w:pPr>
        <w:pStyle w:val="Compact"/>
        <w:numPr>
          <w:ilvl w:val="0"/>
          <w:numId w:val="1008"/>
        </w:numPr>
      </w:pPr>
      <w:r>
        <w:t xml:space="preserve">le cold start peut être masqué par une concurrence artificielle.</w:t>
      </w:r>
    </w:p>
    <w:bookmarkEnd w:id="44"/>
    <w:bookmarkStart w:id="45" w:name="décision-4"/>
    <w:p>
      <w:pPr>
        <w:pStyle w:val="Heading2"/>
      </w:pPr>
      <w:r>
        <w:t xml:space="preserve">5.2 Décision</w:t>
      </w:r>
    </w:p>
    <w:p>
      <w:pPr>
        <w:pStyle w:val="FirstParagraph"/>
      </w:pPr>
      <w:r>
        <w:t xml:space="preserve">L’ouverture d’une opportunité est</w:t>
      </w:r>
      <w:r>
        <w:t xml:space="preserve"> </w:t>
      </w:r>
      <w:r>
        <w:rPr>
          <w:b/>
          <w:bCs/>
        </w:rPr>
        <w:t xml:space="preserve">contrôlée, graduelle et gouvernée par des règles explicites</w:t>
      </w:r>
      <w:r>
        <w:t xml:space="preserve">.</w:t>
      </w:r>
    </w:p>
    <w:p>
      <w:pPr>
        <w:pStyle w:val="BodyText"/>
      </w:pPr>
      <w:r>
        <w:t xml:space="preserve">Elle suit une stratégie d’exposition progressive :</w:t>
      </w:r>
    </w:p>
    <w:p>
      <w:pPr>
        <w:pStyle w:val="SourceCode"/>
      </w:pPr>
      <w:r>
        <w:rPr>
          <w:rStyle w:val="VerbatimChar"/>
        </w:rPr>
        <w:t xml:space="preserve">Niveau 0</w:t>
      </w:r>
      <w:r>
        <w:br/>
      </w:r>
      <w:r>
        <w:rPr>
          <w:rStyle w:val="VerbatimChar"/>
        </w:rPr>
        <w:t xml:space="preserve">Cible directe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Niveau 1</w:t>
      </w:r>
      <w:r>
        <w:br/>
      </w:r>
      <w:r>
        <w:rPr>
          <w:rStyle w:val="VerbatimChar"/>
        </w:rPr>
        <w:t xml:space="preserve">Capacités / partenaires connus et éligibles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Niveau 2</w:t>
      </w:r>
      <w:r>
        <w:br/>
      </w:r>
      <w:r>
        <w:rPr>
          <w:rStyle w:val="VerbatimChar"/>
        </w:rPr>
        <w:t xml:space="preserve">Sous-réseau géographique ou organisationnel pertinent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Niveau 3</w:t>
      </w:r>
      <w:r>
        <w:br/>
      </w:r>
      <w:r>
        <w:rPr>
          <w:rStyle w:val="VerbatimChar"/>
        </w:rPr>
        <w:t xml:space="preserve">Réseau ouvert éligible</w:t>
      </w:r>
    </w:p>
    <w:p>
      <w:pPr>
        <w:pStyle w:val="FirstParagraph"/>
      </w:pPr>
      <w:r>
        <w:t xml:space="preserve">Le passage au niveau suivant intervient lorsqu’aucun engagement valide n’est obtenu dans les conditions prévues.</w:t>
      </w:r>
    </w:p>
    <w:bookmarkEnd w:id="45"/>
    <w:bookmarkStart w:id="46" w:name="règles-fondamentales"/>
    <w:p>
      <w:pPr>
        <w:pStyle w:val="Heading2"/>
      </w:pPr>
      <w:r>
        <w:t xml:space="preserve">5.3 Règles fondamentales</w:t>
      </w:r>
    </w:p>
    <w:p>
      <w:pPr>
        <w:pStyle w:val="FirstParagraph"/>
      </w:pPr>
      <w:r>
        <w:t xml:space="preserve">L’ouverture doit respecter :</w:t>
      </w:r>
    </w:p>
    <w:p>
      <w:pPr>
        <w:pStyle w:val="Compact"/>
        <w:numPr>
          <w:ilvl w:val="0"/>
          <w:numId w:val="1009"/>
        </w:numPr>
      </w:pPr>
      <w:r>
        <w:t xml:space="preserve">éligibilité ;</w:t>
      </w:r>
    </w:p>
    <w:p>
      <w:pPr>
        <w:pStyle w:val="Compact"/>
        <w:numPr>
          <w:ilvl w:val="0"/>
          <w:numId w:val="1009"/>
        </w:numPr>
      </w:pPr>
      <w:r>
        <w:t xml:space="preserve">autorisations du titulaire ;</w:t>
      </w:r>
    </w:p>
    <w:p>
      <w:pPr>
        <w:pStyle w:val="Compact"/>
        <w:numPr>
          <w:ilvl w:val="0"/>
          <w:numId w:val="1009"/>
        </w:numPr>
      </w:pPr>
      <w:r>
        <w:t xml:space="preserve">contraintes géographiques ;</w:t>
      </w:r>
    </w:p>
    <w:p>
      <w:pPr>
        <w:pStyle w:val="Compact"/>
        <w:numPr>
          <w:ilvl w:val="0"/>
          <w:numId w:val="1009"/>
        </w:numPr>
      </w:pPr>
      <w:r>
        <w:t xml:space="preserve">contraintes temporelles ;</w:t>
      </w:r>
    </w:p>
    <w:p>
      <w:pPr>
        <w:pStyle w:val="Compact"/>
        <w:numPr>
          <w:ilvl w:val="0"/>
          <w:numId w:val="1009"/>
        </w:numPr>
      </w:pPr>
      <w:r>
        <w:t xml:space="preserve">règles anti-captation ;</w:t>
      </w:r>
    </w:p>
    <w:p>
      <w:pPr>
        <w:pStyle w:val="Compact"/>
        <w:numPr>
          <w:ilvl w:val="0"/>
          <w:numId w:val="1009"/>
        </w:numPr>
      </w:pPr>
      <w:r>
        <w:t xml:space="preserve">transparence minimale ;</w:t>
      </w:r>
    </w:p>
    <w:p>
      <w:pPr>
        <w:pStyle w:val="Compact"/>
        <w:numPr>
          <w:ilvl w:val="0"/>
          <w:numId w:val="1009"/>
        </w:numPr>
      </w:pPr>
      <w:r>
        <w:t xml:space="preserve">possibilité de retrait ;</w:t>
      </w:r>
    </w:p>
    <w:p>
      <w:pPr>
        <w:pStyle w:val="Compact"/>
        <w:numPr>
          <w:ilvl w:val="0"/>
          <w:numId w:val="1009"/>
        </w:numPr>
      </w:pPr>
      <w:r>
        <w:t xml:space="preserve">traçabilité des propositions.</w:t>
      </w:r>
    </w:p>
    <w:bookmarkEnd w:id="46"/>
    <w:bookmarkStart w:id="47" w:name="ce-que-lon-refuse"/>
    <w:p>
      <w:pPr>
        <w:pStyle w:val="Heading2"/>
      </w:pPr>
      <w:r>
        <w:t xml:space="preserve">5.4 Ce que l’on refuse</w:t>
      </w:r>
    </w:p>
    <w:p>
      <w:pPr>
        <w:pStyle w:val="FirstParagraph"/>
      </w:pPr>
      <w:r>
        <w:t xml:space="preserve">Une mission ouverte ne signifie pas :</w:t>
      </w:r>
    </w:p>
    <w:p>
      <w:pPr>
        <w:pStyle w:val="BlockText"/>
      </w:pPr>
      <w:r>
        <w:t xml:space="preserve">« toute personne connectée peut la voir et la prendre ».</w:t>
      </w:r>
    </w:p>
    <w:p>
      <w:pPr>
        <w:pStyle w:val="FirstParagraph"/>
      </w:pPr>
      <w:r>
        <w:t xml:space="preserve">Elle signifie :</w:t>
      </w:r>
    </w:p>
    <w:p>
      <w:pPr>
        <w:pStyle w:val="BlockText"/>
      </w:pPr>
      <w:r>
        <w:rPr>
          <w:b/>
          <w:bCs/>
        </w:rPr>
        <w:t xml:space="preserve">« cette opportunité peut être exposée à un ensemble contrôlé de capacités admissibles selon une politique d’échange. »</w:t>
      </w:r>
    </w:p>
    <w:bookmarkEnd w:id="47"/>
    <w:bookmarkStart w:id="48" w:name="statut"/>
    <w:p>
      <w:pPr>
        <w:pStyle w:val="Heading2"/>
      </w:pPr>
      <w:r>
        <w:t xml:space="preserve">5.5 Statut</w:t>
      </w:r>
    </w:p>
    <w:p>
      <w:pPr>
        <w:pStyle w:val="FirstParagraph"/>
      </w:pPr>
      <w:r>
        <w:rPr>
          <w:b/>
          <w:bCs/>
        </w:rPr>
        <w:t xml:space="preserve">DÉCISION DDD DE PRINCIPE + HYPOTHÈSES À TESTER.</w:t>
      </w:r>
    </w:p>
    <w:p>
      <w:pPr>
        <w:pStyle w:val="BodyText"/>
      </w:pPr>
      <w:r>
        <w:t xml:space="preserve">La politique exacte de visibilité, de priorité et d’escalade doit être validée par le terrain.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question-q6-quel-niveau-de-confiance"/>
    <w:p>
      <w:pPr>
        <w:pStyle w:val="Heading1"/>
      </w:pPr>
      <w:r>
        <w:t xml:space="preserve">6. Question Q6 — Quel niveau de confiance ?</w:t>
      </w:r>
    </w:p>
    <w:bookmarkStart w:id="50" w:name="décision-5"/>
    <w:p>
      <w:pPr>
        <w:pStyle w:val="Heading2"/>
      </w:pPr>
      <w:r>
        <w:t xml:space="preserve">6.1 Décision</w:t>
      </w:r>
    </w:p>
    <w:p>
      <w:pPr>
        <w:pStyle w:val="FirstParagraph"/>
      </w:pPr>
      <w:r>
        <w:t xml:space="preserve">La confiance ne sera pas réduite à une note unique.</w:t>
      </w:r>
    </w:p>
    <w:p>
      <w:pPr>
        <w:pStyle w:val="BodyText"/>
      </w:pPr>
      <w:r>
        <w:t xml:space="preserve">Le système doit distinguer au minimum :</w:t>
      </w:r>
    </w:p>
    <w:p>
      <w:pPr>
        <w:pStyle w:val="SourceCode"/>
      </w:pPr>
      <w:r>
        <w:rPr>
          <w:rStyle w:val="VerbatimChar"/>
        </w:rPr>
        <w:t xml:space="preserve">Identité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Affiliation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Droits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Historique vérifiable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Preuves opérationnelles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Fiabilité observée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Relations autorisées</w:t>
      </w:r>
    </w:p>
    <w:bookmarkEnd w:id="50"/>
    <w:bookmarkStart w:id="51" w:name="modèle-de-confiance"/>
    <w:p>
      <w:pPr>
        <w:pStyle w:val="Heading2"/>
      </w:pPr>
      <w:r>
        <w:t xml:space="preserve">6.2 Modèle de confiance</w:t>
      </w:r>
    </w:p>
    <w:p>
      <w:pPr>
        <w:pStyle w:val="FirstParagraph"/>
      </w:pPr>
      <w:r>
        <w:t xml:space="preserve">Nous proposons une</w:t>
      </w:r>
      <w:r>
        <w:t xml:space="preserve"> </w:t>
      </w:r>
      <w:r>
        <w:rPr>
          <w:b/>
          <w:bCs/>
        </w:rPr>
        <w:t xml:space="preserve">confiance contextuelle</w:t>
      </w:r>
      <w:r>
        <w:t xml:space="preserve">, plutôt qu’un score universel.</w:t>
      </w:r>
    </w:p>
    <w:p>
      <w:pPr>
        <w:pStyle w:val="BodyText"/>
      </w:pPr>
      <w:r>
        <w:t xml:space="preserve">Exemple :</w:t>
      </w:r>
    </w:p>
    <w:p>
      <w:pPr>
        <w:pStyle w:val="BodyText"/>
      </w:pPr>
      <w:r>
        <w:t xml:space="preserve">Un acteur peut être :</w:t>
      </w:r>
    </w:p>
    <w:p>
      <w:pPr>
        <w:pStyle w:val="Compact"/>
        <w:numPr>
          <w:ilvl w:val="0"/>
          <w:numId w:val="1010"/>
        </w:numPr>
      </w:pPr>
      <w:r>
        <w:t xml:space="preserve">fiable pour les livraisons locales ;</w:t>
      </w:r>
    </w:p>
    <w:p>
      <w:pPr>
        <w:pStyle w:val="Compact"/>
        <w:numPr>
          <w:ilvl w:val="0"/>
          <w:numId w:val="1010"/>
        </w:numPr>
      </w:pPr>
      <w:r>
        <w:t xml:space="preserve">non habilité pour certains colis ;</w:t>
      </w:r>
    </w:p>
    <w:p>
      <w:pPr>
        <w:pStyle w:val="Compact"/>
        <w:numPr>
          <w:ilvl w:val="0"/>
          <w:numId w:val="1010"/>
        </w:numPr>
      </w:pPr>
      <w:r>
        <w:t xml:space="preserve">nouveau dans les échanges inter-organisationnels ;</w:t>
      </w:r>
    </w:p>
    <w:p>
      <w:pPr>
        <w:pStyle w:val="Compact"/>
        <w:numPr>
          <w:ilvl w:val="0"/>
          <w:numId w:val="1010"/>
        </w:numPr>
      </w:pPr>
      <w:r>
        <w:t xml:space="preserve">parfaitement connu d’une organisation partenaire.</w:t>
      </w:r>
    </w:p>
    <w:p>
      <w:pPr>
        <w:pStyle w:val="FirstParagraph"/>
      </w:pPr>
      <w:r>
        <w:t xml:space="preserve">Il serait donc incorrect de résumer toute cette réalité par :</w:t>
      </w:r>
    </w:p>
    <w:p>
      <w:pPr>
        <w:pStyle w:val="SourceCode"/>
      </w:pPr>
      <w:r>
        <w:rPr>
          <w:rStyle w:val="VerbatimChar"/>
        </w:rPr>
        <w:t xml:space="preserve">Score = 82/100</w:t>
      </w:r>
    </w:p>
    <w:bookmarkEnd w:id="51"/>
    <w:bookmarkStart w:id="52" w:name="niveaux-conceptuels"/>
    <w:p>
      <w:pPr>
        <w:pStyle w:val="Heading2"/>
      </w:pPr>
      <w:r>
        <w:t xml:space="preserve">6.3 Niveaux conceptuels</w:t>
      </w:r>
    </w:p>
    <w:p>
      <w:pPr>
        <w:pStyle w:val="SourceCode"/>
      </w:pPr>
      <w:r>
        <w:rPr>
          <w:rStyle w:val="VerbatimChar"/>
        </w:rPr>
        <w:t xml:space="preserve">N0 — Identité inconnue</w:t>
      </w:r>
      <w:r>
        <w:br/>
      </w:r>
      <w:r>
        <w:rPr>
          <w:rStyle w:val="VerbatimChar"/>
        </w:rPr>
        <w:t xml:space="preserve">N1 — Identité vérifiée</w:t>
      </w:r>
      <w:r>
        <w:br/>
      </w:r>
      <w:r>
        <w:rPr>
          <w:rStyle w:val="VerbatimChar"/>
        </w:rPr>
        <w:t xml:space="preserve">N2 — Capacité vérifiée</w:t>
      </w:r>
      <w:r>
        <w:br/>
      </w:r>
      <w:r>
        <w:rPr>
          <w:rStyle w:val="VerbatimChar"/>
        </w:rPr>
        <w:t xml:space="preserve">N3 — Historique opérationnel disponible</w:t>
      </w:r>
      <w:r>
        <w:br/>
      </w:r>
      <w:r>
        <w:rPr>
          <w:rStyle w:val="VerbatimChar"/>
        </w:rPr>
        <w:t xml:space="preserve">N4 — Relation de confiance établie</w:t>
      </w:r>
      <w:r>
        <w:br/>
      </w:r>
      <w:r>
        <w:rPr>
          <w:rStyle w:val="VerbatimChar"/>
        </w:rPr>
        <w:t xml:space="preserve">N5 — Confiance inter-organisationnelle renforcée</w:t>
      </w:r>
    </w:p>
    <w:p>
      <w:pPr>
        <w:pStyle w:val="FirstParagraph"/>
      </w:pPr>
      <w:r>
        <w:t xml:space="preserve">Ces niveaux ne constituent pas encore une notation publique.</w:t>
      </w:r>
    </w:p>
    <w:bookmarkEnd w:id="52"/>
    <w:bookmarkStart w:id="53" w:name="règle-1"/>
    <w:p>
      <w:pPr>
        <w:pStyle w:val="Heading2"/>
      </w:pPr>
      <w:r>
        <w:t xml:space="preserve">6.4 Règle</w:t>
      </w:r>
    </w:p>
    <w:p>
      <w:pPr>
        <w:pStyle w:val="BlockText"/>
      </w:pPr>
      <w:r>
        <w:rPr>
          <w:b/>
          <w:bCs/>
        </w:rPr>
        <w:t xml:space="preserve">La confiance doit être explicable par des faits et des relations, pas par un score opaque.</w:t>
      </w:r>
    </w:p>
    <w:bookmarkEnd w:id="53"/>
    <w:bookmarkStart w:id="54" w:name="conséquence-sur-léchange"/>
    <w:p>
      <w:pPr>
        <w:pStyle w:val="Heading2"/>
      </w:pPr>
      <w:r>
        <w:t xml:space="preserve">6.5 Conséquence sur l’échange</w:t>
      </w:r>
    </w:p>
    <w:p>
      <w:pPr>
        <w:pStyle w:val="FirstParagraph"/>
      </w:pPr>
      <w:r>
        <w:t xml:space="preserve">Le niveau de confiance peut influencer :</w:t>
      </w:r>
    </w:p>
    <w:p>
      <w:pPr>
        <w:pStyle w:val="Compact"/>
        <w:numPr>
          <w:ilvl w:val="0"/>
          <w:numId w:val="1011"/>
        </w:numPr>
      </w:pPr>
      <w:r>
        <w:t xml:space="preserve">l’éligibilité ;</w:t>
      </w:r>
    </w:p>
    <w:p>
      <w:pPr>
        <w:pStyle w:val="Compact"/>
        <w:numPr>
          <w:ilvl w:val="0"/>
          <w:numId w:val="1011"/>
        </w:numPr>
      </w:pPr>
      <w:r>
        <w:t xml:space="preserve">la visibilité ;</w:t>
      </w:r>
    </w:p>
    <w:p>
      <w:pPr>
        <w:pStyle w:val="Compact"/>
        <w:numPr>
          <w:ilvl w:val="0"/>
          <w:numId w:val="1011"/>
        </w:numPr>
      </w:pPr>
      <w:r>
        <w:t xml:space="preserve">la possibilité de délégation ;</w:t>
      </w:r>
    </w:p>
    <w:p>
      <w:pPr>
        <w:pStyle w:val="Compact"/>
        <w:numPr>
          <w:ilvl w:val="0"/>
          <w:numId w:val="1011"/>
        </w:numPr>
      </w:pPr>
      <w:r>
        <w:t xml:space="preserve">le niveau de preuve requis ;</w:t>
      </w:r>
    </w:p>
    <w:p>
      <w:pPr>
        <w:pStyle w:val="Compact"/>
        <w:numPr>
          <w:ilvl w:val="0"/>
          <w:numId w:val="1011"/>
        </w:numPr>
      </w:pPr>
      <w:r>
        <w:t xml:space="preserve">certaines limites opérationnelles.</w:t>
      </w:r>
    </w:p>
    <w:p>
      <w:pPr>
        <w:pStyle w:val="FirstParagraph"/>
      </w:pPr>
      <w:r>
        <w:t xml:space="preserve">Mais il ne doit jamais permettre une exclusion arbitraire sans règle explicable.</w:t>
      </w:r>
    </w:p>
    <w:p>
      <w:pPr>
        <w:pStyle w:val="BodyText"/>
      </w:pPr>
      <w:r>
        <w:rPr>
          <w:b/>
          <w:bCs/>
        </w:rPr>
        <w:t xml:space="preserve">Statut : DÉCISION DDD DE PRINCIPE + VALIDATION TERRAIN REQUISE.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ynthèse-des-six-décisions"/>
    <w:p>
      <w:pPr>
        <w:pStyle w:val="Heading1"/>
      </w:pPr>
      <w:r>
        <w:t xml:space="preserve">7. Synthèse des six décisions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— Capacité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opérationnelle échangeable, distincte de personne/véhicule/disponibilité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—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acceptation valide transformant une capacité en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 — Unité d’échange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opportunité d’exécution attachée à une 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— Compatibilité / optimisation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contraintes d’abord, optimisation ensuite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 — Ouverture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exposition graduelle et contrôlée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 DE PRINCIPE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 — Confiance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confiance contextuelle fondée sur preuves et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 DE PRINCIPE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conséquence-sur-le-core-domain"/>
    <w:p>
      <w:pPr>
        <w:pStyle w:val="Heading1"/>
      </w:pPr>
      <w:r>
        <w:t xml:space="preserve">8. Conséquence sur le Core Domain</w:t>
      </w:r>
    </w:p>
    <w:p>
      <w:pPr>
        <w:pStyle w:val="FirstParagraph"/>
      </w:pPr>
      <w:r>
        <w:t xml:space="preserve">Les six arbitrages renforcent l’hypothèse :</w:t>
      </w:r>
    </w:p>
    <w:p>
      <w:pPr>
        <w:pStyle w:val="BlockText"/>
      </w:pPr>
      <w:r>
        <w:rPr>
          <w:b/>
          <w:bCs/>
        </w:rPr>
        <w:t xml:space="preserve">Core Domain candidat : orchestration fédérée de l’échange de capacités.</w:t>
      </w:r>
    </w:p>
    <w:p>
      <w:pPr>
        <w:pStyle w:val="FirstParagraph"/>
      </w:pPr>
      <w:r>
        <w:t xml:space="preserve">Ce Core Domain n’est pas :</w:t>
      </w:r>
    </w:p>
    <w:p>
      <w:pPr>
        <w:pStyle w:val="Compact"/>
        <w:numPr>
          <w:ilvl w:val="0"/>
          <w:numId w:val="1012"/>
        </w:numPr>
      </w:pPr>
      <w:r>
        <w:t xml:space="preserve">le suivi de livraison ;</w:t>
      </w:r>
    </w:p>
    <w:p>
      <w:pPr>
        <w:pStyle w:val="Compact"/>
        <w:numPr>
          <w:ilvl w:val="0"/>
          <w:numId w:val="1012"/>
        </w:numPr>
      </w:pPr>
      <w:r>
        <w:t xml:space="preserve">le GPS ;</w:t>
      </w:r>
    </w:p>
    <w:p>
      <w:pPr>
        <w:pStyle w:val="Compact"/>
        <w:numPr>
          <w:ilvl w:val="0"/>
          <w:numId w:val="1012"/>
        </w:numPr>
      </w:pPr>
      <w:r>
        <w:t xml:space="preserve">la gestion d’organisation ;</w:t>
      </w:r>
    </w:p>
    <w:p>
      <w:pPr>
        <w:pStyle w:val="Compact"/>
        <w:numPr>
          <w:ilvl w:val="0"/>
          <w:numId w:val="1012"/>
        </w:numPr>
      </w:pPr>
      <w:r>
        <w:t xml:space="preserve">le paiement ;</w:t>
      </w:r>
    </w:p>
    <w:p>
      <w:pPr>
        <w:pStyle w:val="Compact"/>
        <w:numPr>
          <w:ilvl w:val="0"/>
          <w:numId w:val="1012"/>
        </w:numPr>
      </w:pPr>
      <w:r>
        <w:t xml:space="preserve">la gestion des colis ;</w:t>
      </w:r>
    </w:p>
    <w:p>
      <w:pPr>
        <w:pStyle w:val="Compact"/>
        <w:numPr>
          <w:ilvl w:val="0"/>
          <w:numId w:val="1012"/>
        </w:numPr>
      </w:pPr>
      <w:r>
        <w:t xml:space="preserve">l’optimisation de tournée seule.</w:t>
      </w:r>
    </w:p>
    <w:p>
      <w:pPr>
        <w:pStyle w:val="FirstParagraph"/>
      </w:pPr>
      <w:r>
        <w:t xml:space="preserve">Il se situe dans la boucle :</w:t>
      </w:r>
    </w:p>
    <w:p>
      <w:pPr>
        <w:pStyle w:val="SourceCode"/>
      </w:pPr>
      <w:r>
        <w:rPr>
          <w:rStyle w:val="VerbatimChar"/>
        </w:rPr>
        <w:t xml:space="preserve">BESOIN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ÉTAPE EXÉCUTABLE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OPPORTUNITÉ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CAPACITÉS ÉLIGIBLES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COMPATIBILITÉ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EXPOSITION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PROPOSITION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EXÉCUTION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RÉSULTAT / PREUVE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HISTORIQUE</w:t>
      </w:r>
    </w:p>
    <w:p>
      <w:pPr>
        <w:pStyle w:val="FirstParagraph"/>
      </w:pPr>
      <w:r>
        <w:t xml:space="preserve">La valeur stratégique est la transformation de :</w:t>
      </w:r>
    </w:p>
    <w:p>
      <w:pPr>
        <w:pStyle w:val="SourceCode"/>
      </w:pPr>
      <w:r>
        <w:rPr>
          <w:rStyle w:val="VerbatimChar"/>
        </w:rPr>
        <w:t xml:space="preserve">capacités dispersées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capacités identifiables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capacités admissibles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capacités échangeables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capacité collective exploitable</w:t>
      </w:r>
    </w:p>
    <w:p>
      <w:pPr>
        <w:pStyle w:val="FirstParagraph"/>
      </w:pPr>
      <w:r>
        <w:t xml:space="preserve">Cette formulation est désormais plus précise que « réseau opérationnel fédéré ».</w:t>
      </w:r>
    </w:p>
    <w:p>
      <w:r>
        <w:pict>
          <v:rect style="width:0;height:1.5pt" o:hralign="center" o:hrstd="t" o:hr="t"/>
        </w:pict>
      </w:r>
    </w:p>
    <w:bookmarkEnd w:id="57"/>
    <w:bookmarkStart w:id="66" w:name="X1e8fa16a1ddb9059fa6bca5ce5193bab41699e7"/>
    <w:p>
      <w:pPr>
        <w:pStyle w:val="Heading1"/>
      </w:pPr>
      <w:r>
        <w:t xml:space="preserve">9. Ce que cela implique pour les Bounded Contexts</w:t>
      </w:r>
    </w:p>
    <w:bookmarkStart w:id="58" w:name="identity-organization"/>
    <w:p>
      <w:pPr>
        <w:pStyle w:val="Heading2"/>
      </w:pPr>
      <w:r>
        <w:t xml:space="preserve">Identity &amp; Organization</w:t>
      </w:r>
    </w:p>
    <w:p>
      <w:pPr>
        <w:pStyle w:val="FirstParagraph"/>
      </w:pPr>
      <w:r>
        <w:t xml:space="preserve">Possède :</w:t>
      </w:r>
    </w:p>
    <w:p>
      <w:pPr>
        <w:pStyle w:val="Compact"/>
        <w:numPr>
          <w:ilvl w:val="0"/>
          <w:numId w:val="1013"/>
        </w:numPr>
      </w:pPr>
      <w:r>
        <w:t xml:space="preserve">identité ;</w:t>
      </w:r>
    </w:p>
    <w:p>
      <w:pPr>
        <w:pStyle w:val="Compact"/>
        <w:numPr>
          <w:ilvl w:val="0"/>
          <w:numId w:val="1013"/>
        </w:numPr>
      </w:pPr>
      <w:r>
        <w:t xml:space="preserve">organisation ;</w:t>
      </w:r>
    </w:p>
    <w:p>
      <w:pPr>
        <w:pStyle w:val="Compact"/>
        <w:numPr>
          <w:ilvl w:val="0"/>
          <w:numId w:val="1013"/>
        </w:numPr>
      </w:pPr>
      <w:r>
        <w:t xml:space="preserve">affiliation ;</w:t>
      </w:r>
    </w:p>
    <w:p>
      <w:pPr>
        <w:pStyle w:val="Compact"/>
        <w:numPr>
          <w:ilvl w:val="0"/>
          <w:numId w:val="1013"/>
        </w:numPr>
      </w:pPr>
      <w:r>
        <w:t xml:space="preserve">rôles ;</w:t>
      </w:r>
    </w:p>
    <w:p>
      <w:pPr>
        <w:pStyle w:val="Compact"/>
        <w:numPr>
          <w:ilvl w:val="0"/>
          <w:numId w:val="1013"/>
        </w:numPr>
      </w:pPr>
      <w:r>
        <w:t xml:space="preserve">droits.</w:t>
      </w:r>
    </w:p>
    <w:p>
      <w:pPr>
        <w:pStyle w:val="FirstParagraph"/>
      </w:pPr>
      <w:r>
        <w:t xml:space="preserve">Ne possède pas :</w:t>
      </w:r>
    </w:p>
    <w:p>
      <w:pPr>
        <w:pStyle w:val="Compact"/>
        <w:numPr>
          <w:ilvl w:val="0"/>
          <w:numId w:val="1014"/>
        </w:numPr>
      </w:pPr>
      <w:r>
        <w:t xml:space="preserve">la capacité opérationnelle elle-même.</w:t>
      </w:r>
    </w:p>
    <w:bookmarkEnd w:id="58"/>
    <w:bookmarkStart w:id="59" w:name="capacity-availability"/>
    <w:p>
      <w:pPr>
        <w:pStyle w:val="Heading2"/>
      </w:pPr>
      <w:r>
        <w:t xml:space="preserve">Capacity &amp; Availability</w:t>
      </w:r>
    </w:p>
    <w:p>
      <w:pPr>
        <w:pStyle w:val="FirstParagraph"/>
      </w:pPr>
      <w:r>
        <w:t xml:space="preserve">Possède :</w:t>
      </w:r>
    </w:p>
    <w:p>
      <w:pPr>
        <w:pStyle w:val="Compact"/>
        <w:numPr>
          <w:ilvl w:val="0"/>
          <w:numId w:val="1015"/>
        </w:numPr>
      </w:pPr>
      <w:r>
        <w:t xml:space="preserve">capacités ;</w:t>
      </w:r>
    </w:p>
    <w:p>
      <w:pPr>
        <w:pStyle w:val="Compact"/>
        <w:numPr>
          <w:ilvl w:val="0"/>
          <w:numId w:val="1015"/>
        </w:numPr>
      </w:pPr>
      <w:r>
        <w:t xml:space="preserve">caractéristiques opérationnelles ;</w:t>
      </w:r>
    </w:p>
    <w:p>
      <w:pPr>
        <w:pStyle w:val="Compact"/>
        <w:numPr>
          <w:ilvl w:val="0"/>
          <w:numId w:val="1015"/>
        </w:numPr>
      </w:pPr>
      <w:r>
        <w:t xml:space="preserve">disponibilité ;</w:t>
      </w:r>
    </w:p>
    <w:p>
      <w:pPr>
        <w:pStyle w:val="Compact"/>
        <w:numPr>
          <w:ilvl w:val="0"/>
          <w:numId w:val="1015"/>
        </w:numPr>
      </w:pPr>
      <w:r>
        <w:t xml:space="preserve">contraintes propres à la capacité.</w:t>
      </w:r>
    </w:p>
    <w:p>
      <w:pPr>
        <w:pStyle w:val="FirstParagraph"/>
      </w:pPr>
      <w:r>
        <w:t xml:space="preserve">Ne décide pas :</w:t>
      </w:r>
    </w:p>
    <w:p>
      <w:pPr>
        <w:pStyle w:val="Compact"/>
        <w:numPr>
          <w:ilvl w:val="0"/>
          <w:numId w:val="1016"/>
        </w:numPr>
      </w:pPr>
      <w:r>
        <w:t xml:space="preserve">quelle opportunité doit être attribuée.</w:t>
      </w:r>
    </w:p>
    <w:bookmarkEnd w:id="59"/>
    <w:bookmarkStart w:id="60" w:name="mission-orchestration"/>
    <w:p>
      <w:pPr>
        <w:pStyle w:val="Heading2"/>
      </w:pPr>
      <w:r>
        <w:t xml:space="preserve">Mission Orchestration</w:t>
      </w:r>
    </w:p>
    <w:p>
      <w:pPr>
        <w:pStyle w:val="FirstParagraph"/>
      </w:pPr>
      <w:r>
        <w:t xml:space="preserve">Possède :</w:t>
      </w:r>
    </w:p>
    <w:p>
      <w:pPr>
        <w:pStyle w:val="Compact"/>
        <w:numPr>
          <w:ilvl w:val="0"/>
          <w:numId w:val="1017"/>
        </w:numPr>
      </w:pPr>
      <w:r>
        <w:t xml:space="preserve">mission ;</w:t>
      </w:r>
    </w:p>
    <w:p>
      <w:pPr>
        <w:pStyle w:val="Compact"/>
        <w:numPr>
          <w:ilvl w:val="0"/>
          <w:numId w:val="1017"/>
        </w:numPr>
      </w:pPr>
      <w:r>
        <w:t xml:space="preserve">étapes ;</w:t>
      </w:r>
    </w:p>
    <w:p>
      <w:pPr>
        <w:pStyle w:val="Compact"/>
        <w:numPr>
          <w:ilvl w:val="0"/>
          <w:numId w:val="1017"/>
        </w:numPr>
      </w:pPr>
      <w:r>
        <w:t xml:space="preserve">état de coordination ;</w:t>
      </w:r>
    </w:p>
    <w:p>
      <w:pPr>
        <w:pStyle w:val="Compact"/>
        <w:numPr>
          <w:ilvl w:val="0"/>
          <w:numId w:val="1017"/>
        </w:numPr>
      </w:pPr>
      <w:r>
        <w:t xml:space="preserve">titulaire ;</w:t>
      </w:r>
    </w:p>
    <w:p>
      <w:pPr>
        <w:pStyle w:val="Compact"/>
        <w:numPr>
          <w:ilvl w:val="0"/>
          <w:numId w:val="1017"/>
        </w:numPr>
      </w:pPr>
      <w:r>
        <w:t xml:space="preserve">demande d’exécution.</w:t>
      </w:r>
    </w:p>
    <w:p>
      <w:pPr>
        <w:pStyle w:val="FirstParagraph"/>
      </w:pPr>
      <w:r>
        <w:t xml:space="preserve">Ne décide pas :</w:t>
      </w:r>
    </w:p>
    <w:p>
      <w:pPr>
        <w:pStyle w:val="Compact"/>
        <w:numPr>
          <w:ilvl w:val="0"/>
          <w:numId w:val="1018"/>
        </w:numPr>
      </w:pPr>
      <w:r>
        <w:t xml:space="preserve">quelle capacité externe est la meilleure.</w:t>
      </w:r>
    </w:p>
    <w:bookmarkEnd w:id="60"/>
    <w:bookmarkStart w:id="61" w:name="capacity-exchange-core-candidate"/>
    <w:p>
      <w:pPr>
        <w:pStyle w:val="Heading2"/>
      </w:pPr>
      <w:r>
        <w:t xml:space="preserve">Capacity Exchange — CORE CANDIDATE</w:t>
      </w:r>
    </w:p>
    <w:p>
      <w:pPr>
        <w:pStyle w:val="FirstParagraph"/>
      </w:pPr>
      <w:r>
        <w:t xml:space="preserve">Possède :</w:t>
      </w:r>
    </w:p>
    <w:p>
      <w:pPr>
        <w:pStyle w:val="Compact"/>
        <w:numPr>
          <w:ilvl w:val="0"/>
          <w:numId w:val="1019"/>
        </w:numPr>
      </w:pPr>
      <w:r>
        <w:t xml:space="preserve">opportunité ;</w:t>
      </w:r>
    </w:p>
    <w:p>
      <w:pPr>
        <w:pStyle w:val="Compact"/>
        <w:numPr>
          <w:ilvl w:val="0"/>
          <w:numId w:val="1019"/>
        </w:numPr>
      </w:pPr>
      <w:r>
        <w:t xml:space="preserve">éligibilité ;</w:t>
      </w:r>
    </w:p>
    <w:p>
      <w:pPr>
        <w:pStyle w:val="Compact"/>
        <w:numPr>
          <w:ilvl w:val="0"/>
          <w:numId w:val="1019"/>
        </w:numPr>
      </w:pPr>
      <w:r>
        <w:t xml:space="preserve">compatibilité ;</w:t>
      </w:r>
    </w:p>
    <w:p>
      <w:pPr>
        <w:pStyle w:val="Compact"/>
        <w:numPr>
          <w:ilvl w:val="0"/>
          <w:numId w:val="1019"/>
        </w:numPr>
      </w:pPr>
      <w:r>
        <w:t xml:space="preserve">exposition ;</w:t>
      </w:r>
    </w:p>
    <w:p>
      <w:pPr>
        <w:pStyle w:val="Compact"/>
        <w:numPr>
          <w:ilvl w:val="0"/>
          <w:numId w:val="1019"/>
        </w:numPr>
      </w:pPr>
      <w:r>
        <w:t xml:space="preserve">proposition ;</w:t>
      </w:r>
    </w:p>
    <w:p>
      <w:pPr>
        <w:pStyle w:val="Compact"/>
        <w:numPr>
          <w:ilvl w:val="0"/>
          <w:numId w:val="1019"/>
        </w:numPr>
      </w:pPr>
      <w:r>
        <w:t xml:space="preserve">engagement ;</w:t>
      </w:r>
    </w:p>
    <w:p>
      <w:pPr>
        <w:pStyle w:val="Compact"/>
        <w:numPr>
          <w:ilvl w:val="0"/>
          <w:numId w:val="1019"/>
        </w:numPr>
      </w:pPr>
      <w:r>
        <w:t xml:space="preserve">délégation comme mécanisme d’échange.</w:t>
      </w:r>
    </w:p>
    <w:bookmarkEnd w:id="61"/>
    <w:bookmarkStart w:id="62" w:name="execution-custody"/>
    <w:p>
      <w:pPr>
        <w:pStyle w:val="Heading2"/>
      </w:pPr>
      <w:r>
        <w:t xml:space="preserve">Execution &amp; Custody</w:t>
      </w:r>
    </w:p>
    <w:p>
      <w:pPr>
        <w:pStyle w:val="FirstParagraph"/>
      </w:pPr>
      <w:r>
        <w:t xml:space="preserve">Possède :</w:t>
      </w:r>
    </w:p>
    <w:p>
      <w:pPr>
        <w:pStyle w:val="Compact"/>
        <w:numPr>
          <w:ilvl w:val="0"/>
          <w:numId w:val="1020"/>
        </w:numPr>
      </w:pPr>
      <w:r>
        <w:t xml:space="preserve">prise en charge ;</w:t>
      </w:r>
    </w:p>
    <w:p>
      <w:pPr>
        <w:pStyle w:val="Compact"/>
        <w:numPr>
          <w:ilvl w:val="0"/>
          <w:numId w:val="1020"/>
        </w:numPr>
      </w:pPr>
      <w:r>
        <w:t xml:space="preserve">garde ;</w:t>
      </w:r>
    </w:p>
    <w:p>
      <w:pPr>
        <w:pStyle w:val="Compact"/>
        <w:numPr>
          <w:ilvl w:val="0"/>
          <w:numId w:val="1020"/>
        </w:numPr>
      </w:pPr>
      <w:r>
        <w:t xml:space="preserve">transfert ;</w:t>
      </w:r>
    </w:p>
    <w:p>
      <w:pPr>
        <w:pStyle w:val="Compact"/>
        <w:numPr>
          <w:ilvl w:val="0"/>
          <w:numId w:val="1020"/>
        </w:numPr>
      </w:pPr>
      <w:r>
        <w:t xml:space="preserve">remise ;</w:t>
      </w:r>
    </w:p>
    <w:p>
      <w:pPr>
        <w:pStyle w:val="Compact"/>
        <w:numPr>
          <w:ilvl w:val="0"/>
          <w:numId w:val="1020"/>
        </w:numPr>
      </w:pPr>
      <w:r>
        <w:t xml:space="preserve">état apparent ;</w:t>
      </w:r>
    </w:p>
    <w:p>
      <w:pPr>
        <w:pStyle w:val="Compact"/>
        <w:numPr>
          <w:ilvl w:val="0"/>
          <w:numId w:val="1020"/>
        </w:numPr>
      </w:pPr>
      <w:r>
        <w:t xml:space="preserve">réserves.</w:t>
      </w:r>
    </w:p>
    <w:bookmarkEnd w:id="62"/>
    <w:bookmarkStart w:id="63" w:name="location-journey"/>
    <w:p>
      <w:pPr>
        <w:pStyle w:val="Heading2"/>
      </w:pPr>
      <w:r>
        <w:t xml:space="preserve">Location &amp; Journey</w:t>
      </w:r>
    </w:p>
    <w:p>
      <w:pPr>
        <w:pStyle w:val="FirstParagraph"/>
      </w:pPr>
      <w:r>
        <w:t xml:space="preserve">Fournit :</w:t>
      </w:r>
    </w:p>
    <w:p>
      <w:pPr>
        <w:pStyle w:val="Compact"/>
        <w:numPr>
          <w:ilvl w:val="0"/>
          <w:numId w:val="1021"/>
        </w:numPr>
      </w:pPr>
      <w:r>
        <w:t xml:space="preserve">lieux ;</w:t>
      </w:r>
    </w:p>
    <w:p>
      <w:pPr>
        <w:pStyle w:val="Compact"/>
        <w:numPr>
          <w:ilvl w:val="0"/>
          <w:numId w:val="1021"/>
        </w:numPr>
      </w:pPr>
      <w:r>
        <w:t xml:space="preserve">parcours ;</w:t>
      </w:r>
    </w:p>
    <w:p>
      <w:pPr>
        <w:pStyle w:val="Compact"/>
        <w:numPr>
          <w:ilvl w:val="0"/>
          <w:numId w:val="1021"/>
        </w:numPr>
      </w:pPr>
      <w:r>
        <w:t xml:space="preserve">contraintes spatiales ;</w:t>
      </w:r>
    </w:p>
    <w:p>
      <w:pPr>
        <w:pStyle w:val="Compact"/>
        <w:numPr>
          <w:ilvl w:val="0"/>
          <w:numId w:val="1021"/>
        </w:numPr>
      </w:pPr>
      <w:r>
        <w:t xml:space="preserve">compatibilité spatiale/temporelle.</w:t>
      </w:r>
    </w:p>
    <w:bookmarkEnd w:id="63"/>
    <w:bookmarkStart w:id="64" w:name="trust-evidence"/>
    <w:p>
      <w:pPr>
        <w:pStyle w:val="Heading2"/>
      </w:pPr>
      <w:r>
        <w:t xml:space="preserve">Trust &amp; Evidence</w:t>
      </w:r>
    </w:p>
    <w:p>
      <w:pPr>
        <w:pStyle w:val="FirstParagraph"/>
      </w:pPr>
      <w:r>
        <w:t xml:space="preserve">Possède :</w:t>
      </w:r>
    </w:p>
    <w:p>
      <w:pPr>
        <w:pStyle w:val="Compact"/>
        <w:numPr>
          <w:ilvl w:val="0"/>
          <w:numId w:val="1022"/>
        </w:numPr>
      </w:pPr>
      <w:r>
        <w:t xml:space="preserve">preuves ;</w:t>
      </w:r>
    </w:p>
    <w:p>
      <w:pPr>
        <w:pStyle w:val="Compact"/>
        <w:numPr>
          <w:ilvl w:val="0"/>
          <w:numId w:val="1022"/>
        </w:numPr>
      </w:pPr>
      <w:r>
        <w:t xml:space="preserve">historique exploitable ;</w:t>
      </w:r>
    </w:p>
    <w:p>
      <w:pPr>
        <w:pStyle w:val="Compact"/>
        <w:numPr>
          <w:ilvl w:val="0"/>
          <w:numId w:val="1022"/>
        </w:numPr>
      </w:pPr>
      <w:r>
        <w:t xml:space="preserve">reconstruction des faits ;</w:t>
      </w:r>
    </w:p>
    <w:p>
      <w:pPr>
        <w:pStyle w:val="Compact"/>
        <w:numPr>
          <w:ilvl w:val="0"/>
          <w:numId w:val="1022"/>
        </w:numPr>
      </w:pPr>
      <w:r>
        <w:t xml:space="preserve">signaux de fiabilité.</w:t>
      </w:r>
    </w:p>
    <w:bookmarkEnd w:id="64"/>
    <w:bookmarkStart w:id="65" w:name="settlement-economics"/>
    <w:p>
      <w:pPr>
        <w:pStyle w:val="Heading2"/>
      </w:pPr>
      <w:r>
        <w:t xml:space="preserve">Settlement &amp; Economics</w:t>
      </w:r>
    </w:p>
    <w:p>
      <w:pPr>
        <w:pStyle w:val="FirstParagraph"/>
      </w:pPr>
      <w:r>
        <w:t xml:space="preserve">Possède :</w:t>
      </w:r>
    </w:p>
    <w:p>
      <w:pPr>
        <w:pStyle w:val="Compact"/>
        <w:numPr>
          <w:ilvl w:val="0"/>
          <w:numId w:val="1023"/>
        </w:numPr>
      </w:pPr>
      <w:r>
        <w:t xml:space="preserve">conséquences économiques ;</w:t>
      </w:r>
    </w:p>
    <w:p>
      <w:pPr>
        <w:pStyle w:val="Compact"/>
        <w:numPr>
          <w:ilvl w:val="0"/>
          <w:numId w:val="1023"/>
        </w:numPr>
      </w:pPr>
      <w:r>
        <w:t xml:space="preserve">commissions ;</w:t>
      </w:r>
    </w:p>
    <w:p>
      <w:pPr>
        <w:pStyle w:val="Compact"/>
        <w:numPr>
          <w:ilvl w:val="0"/>
          <w:numId w:val="1023"/>
        </w:numPr>
      </w:pPr>
      <w:r>
        <w:t xml:space="preserve">règlement ;</w:t>
      </w:r>
    </w:p>
    <w:p>
      <w:pPr>
        <w:pStyle w:val="Compact"/>
        <w:numPr>
          <w:ilvl w:val="0"/>
          <w:numId w:val="1023"/>
        </w:numPr>
      </w:pPr>
      <w:r>
        <w:t xml:space="preserve">partage.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769107e228191155e9eb14fc38b08e33a46863a"/>
    <w:p>
      <w:pPr>
        <w:pStyle w:val="Heading1"/>
      </w:pPr>
      <w:r>
        <w:t xml:space="preserve">10. Nouvelles frontières conceptuelles stabilisées</w:t>
      </w:r>
    </w:p>
    <w:p>
      <w:pPr>
        <w:pStyle w:val="FirstParagraph"/>
      </w:pPr>
      <w:r>
        <w:t xml:space="preserve">Le modèle doit désormais protéger explicitement les distinctions suivantes :</w:t>
      </w:r>
    </w:p>
    <w:p>
      <w:pPr>
        <w:pStyle w:val="SourceCode"/>
      </w:pPr>
      <w:r>
        <w:rPr>
          <w:rStyle w:val="VerbatimChar"/>
        </w:rPr>
        <w:t xml:space="preserve">Personne</w:t>
      </w:r>
      <w:r>
        <w:br/>
      </w:r>
      <w:r>
        <w:rPr>
          <w:rStyle w:val="VerbatimChar"/>
        </w:rPr>
        <w:t xml:space="preserve">  ≠</w:t>
      </w:r>
      <w:r>
        <w:br/>
      </w:r>
      <w:r>
        <w:rPr>
          <w:rStyle w:val="VerbatimChar"/>
        </w:rPr>
        <w:t xml:space="preserve">Capacité</w:t>
      </w:r>
      <w:r>
        <w:br/>
      </w:r>
      <w:r>
        <w:rPr>
          <w:rStyle w:val="VerbatimChar"/>
        </w:rPr>
        <w:t xml:space="preserve">  ≠</w:t>
      </w:r>
      <w:r>
        <w:br/>
      </w:r>
      <w:r>
        <w:rPr>
          <w:rStyle w:val="VerbatimChar"/>
        </w:rPr>
        <w:t xml:space="preserve">Disponibilité</w:t>
      </w:r>
      <w:r>
        <w:br/>
      </w:r>
      <w:r>
        <w:rPr>
          <w:rStyle w:val="VerbatimChar"/>
        </w:rPr>
        <w:t xml:space="preserve">  ≠</w:t>
      </w:r>
      <w:r>
        <w:br/>
      </w:r>
      <w:r>
        <w:rPr>
          <w:rStyle w:val="VerbatimChar"/>
        </w:rPr>
        <w:t xml:space="preserve">Éligibilité</w:t>
      </w:r>
      <w:r>
        <w:br/>
      </w:r>
      <w:r>
        <w:rPr>
          <w:rStyle w:val="VerbatimChar"/>
        </w:rPr>
        <w:t xml:space="preserve">  ≠</w:t>
      </w:r>
      <w:r>
        <w:br/>
      </w:r>
      <w:r>
        <w:rPr>
          <w:rStyle w:val="VerbatimChar"/>
        </w:rPr>
        <w:t xml:space="preserve">Proposition</w:t>
      </w:r>
      <w:r>
        <w:br/>
      </w:r>
      <w:r>
        <w:rPr>
          <w:rStyle w:val="VerbatimChar"/>
        </w:rPr>
        <w:t xml:space="preserve">  ≠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  ≠</w:t>
      </w:r>
      <w:r>
        <w:br/>
      </w:r>
      <w:r>
        <w:rPr>
          <w:rStyle w:val="VerbatimChar"/>
        </w:rPr>
        <w:t xml:space="preserve">Prise en charge</w:t>
      </w:r>
      <w:r>
        <w:br/>
      </w:r>
      <w:r>
        <w:rPr>
          <w:rStyle w:val="VerbatimChar"/>
        </w:rPr>
        <w:t xml:space="preserve">  ≠</w:t>
      </w:r>
      <w:r>
        <w:br/>
      </w:r>
      <w:r>
        <w:rPr>
          <w:rStyle w:val="VerbatimChar"/>
        </w:rPr>
        <w:t xml:space="preserve">Garde</w:t>
      </w:r>
    </w:p>
    <w:p>
      <w:pPr>
        <w:pStyle w:val="FirstParagraph"/>
      </w:pPr>
      <w:r>
        <w:t xml:space="preserve">Et :</w:t>
      </w:r>
    </w:p>
    <w:p>
      <w:pPr>
        <w:pStyle w:val="SourceCode"/>
      </w:pPr>
      <w:r>
        <w:rPr>
          <w:rStyle w:val="VerbatimChar"/>
        </w:rPr>
        <w:t xml:space="preserve">Mission</w:t>
      </w:r>
      <w:r>
        <w:br/>
      </w:r>
      <w:r>
        <w:rPr>
          <w:rStyle w:val="VerbatimChar"/>
        </w:rPr>
        <w:t xml:space="preserve">  ≠</w:t>
      </w:r>
      <w:r>
        <w:br/>
      </w:r>
      <w:r>
        <w:rPr>
          <w:rStyle w:val="VerbatimChar"/>
        </w:rPr>
        <w:t xml:space="preserve">Étape</w:t>
      </w:r>
      <w:r>
        <w:br/>
      </w:r>
      <w:r>
        <w:rPr>
          <w:rStyle w:val="VerbatimChar"/>
        </w:rPr>
        <w:t xml:space="preserve">  ≠</w:t>
      </w:r>
      <w:r>
        <w:br/>
      </w:r>
      <w:r>
        <w:rPr>
          <w:rStyle w:val="VerbatimChar"/>
        </w:rPr>
        <w:t xml:space="preserve">Opportunité d'exécution</w:t>
      </w:r>
    </w:p>
    <w:p>
      <w:pPr>
        <w:pStyle w:val="FirstParagraph"/>
      </w:pPr>
      <w:r>
        <w:t xml:space="preserve">Et :</w:t>
      </w:r>
    </w:p>
    <w:p>
      <w:pPr>
        <w:pStyle w:val="SourceCode"/>
      </w:pPr>
      <w:r>
        <w:rPr>
          <w:rStyle w:val="VerbatimChar"/>
        </w:rPr>
        <w:t xml:space="preserve">Compatibilité</w:t>
      </w:r>
      <w:r>
        <w:br/>
      </w:r>
      <w:r>
        <w:rPr>
          <w:rStyle w:val="VerbatimChar"/>
        </w:rPr>
        <w:t xml:space="preserve">  ≠</w:t>
      </w:r>
      <w:r>
        <w:br/>
      </w:r>
      <w:r>
        <w:rPr>
          <w:rStyle w:val="VerbatimChar"/>
        </w:rPr>
        <w:t xml:space="preserve">Optimisation</w:t>
      </w:r>
    </w:p>
    <w:p>
      <w:pPr>
        <w:pStyle w:val="FirstParagraph"/>
      </w:pPr>
      <w:r>
        <w:t xml:space="preserve">Et :</w:t>
      </w:r>
    </w:p>
    <w:p>
      <w:pPr>
        <w:pStyle w:val="SourceCode"/>
      </w:pPr>
      <w:r>
        <w:rPr>
          <w:rStyle w:val="VerbatimChar"/>
        </w:rPr>
        <w:t xml:space="preserve">Confiance</w:t>
      </w:r>
      <w:r>
        <w:br/>
      </w:r>
      <w:r>
        <w:rPr>
          <w:rStyle w:val="VerbatimChar"/>
        </w:rPr>
        <w:t xml:space="preserve">  ≠</w:t>
      </w:r>
      <w:r>
        <w:br/>
      </w:r>
      <w:r>
        <w:rPr>
          <w:rStyle w:val="VerbatimChar"/>
        </w:rPr>
        <w:t xml:space="preserve">Score</w:t>
      </w:r>
    </w:p>
    <w:p>
      <w:pPr>
        <w:pStyle w:val="FirstParagraph"/>
      </w:pPr>
      <w:r>
        <w:t xml:space="preserve">Ces distinctions constituent désormais des</w:t>
      </w:r>
      <w:r>
        <w:t xml:space="preserve"> </w:t>
      </w:r>
      <w:r>
        <w:rPr>
          <w:b/>
          <w:bCs/>
        </w:rPr>
        <w:t xml:space="preserve">invariants de modélisation stratégique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9" w:name="ce-qui-reste-ouvert"/>
    <w:p>
      <w:pPr>
        <w:pStyle w:val="Heading1"/>
      </w:pPr>
      <w:r>
        <w:t xml:space="preserve">11. Ce qui reste ouvert</w:t>
      </w:r>
    </w:p>
    <w:p>
      <w:pPr>
        <w:pStyle w:val="FirstParagraph"/>
      </w:pPr>
      <w:r>
        <w:t xml:space="preserve">Les six questions sont résolues au niveau stratégique, mais plusieurs paramètres restent volontairement ouverts.</w:t>
      </w:r>
    </w:p>
    <w:bookmarkStart w:id="68" w:name="à-valider-par-le-terrain"/>
    <w:p>
      <w:pPr>
        <w:pStyle w:val="Heading3"/>
      </w:pPr>
      <w:r>
        <w:t xml:space="preserve">À valider par le terrain</w:t>
      </w:r>
    </w:p>
    <w:p>
      <w:pPr>
        <w:pStyle w:val="Compact"/>
        <w:numPr>
          <w:ilvl w:val="0"/>
          <w:numId w:val="1024"/>
        </w:numPr>
      </w:pPr>
      <w:r>
        <w:t xml:space="preserve">seuils de disponibilité ;</w:t>
      </w:r>
    </w:p>
    <w:p>
      <w:pPr>
        <w:pStyle w:val="Compact"/>
        <w:numPr>
          <w:ilvl w:val="0"/>
          <w:numId w:val="1024"/>
        </w:numPr>
      </w:pPr>
      <w:r>
        <w:t xml:space="preserve">durée de réservation ;</w:t>
      </w:r>
    </w:p>
    <w:p>
      <w:pPr>
        <w:pStyle w:val="Compact"/>
        <w:numPr>
          <w:ilvl w:val="0"/>
          <w:numId w:val="1024"/>
        </w:numPr>
      </w:pPr>
      <w:r>
        <w:t xml:space="preserve">règles de concurrence entre engagements ;</w:t>
      </w:r>
    </w:p>
    <w:p>
      <w:pPr>
        <w:pStyle w:val="Compact"/>
        <w:numPr>
          <w:ilvl w:val="0"/>
          <w:numId w:val="1024"/>
        </w:numPr>
      </w:pPr>
      <w:r>
        <w:t xml:space="preserve">critères exacts d’éligibilité ;</w:t>
      </w:r>
    </w:p>
    <w:p>
      <w:pPr>
        <w:pStyle w:val="Compact"/>
        <w:numPr>
          <w:ilvl w:val="0"/>
          <w:numId w:val="1024"/>
        </w:numPr>
      </w:pPr>
      <w:r>
        <w:t xml:space="preserve">politique de visibilité ;</w:t>
      </w:r>
    </w:p>
    <w:p>
      <w:pPr>
        <w:pStyle w:val="Compact"/>
        <w:numPr>
          <w:ilvl w:val="0"/>
          <w:numId w:val="1024"/>
        </w:numPr>
      </w:pPr>
      <w:r>
        <w:t xml:space="preserve">mécanisme d’escalade ;</w:t>
      </w:r>
    </w:p>
    <w:p>
      <w:pPr>
        <w:pStyle w:val="Compact"/>
        <w:numPr>
          <w:ilvl w:val="0"/>
          <w:numId w:val="1024"/>
        </w:numPr>
      </w:pPr>
      <w:r>
        <w:t xml:space="preserve">coût d’une opportunité ;</w:t>
      </w:r>
    </w:p>
    <w:p>
      <w:pPr>
        <w:pStyle w:val="Compact"/>
        <w:numPr>
          <w:ilvl w:val="0"/>
          <w:numId w:val="1024"/>
        </w:numPr>
      </w:pPr>
      <w:r>
        <w:t xml:space="preserve">modèle économique ;</w:t>
      </w:r>
    </w:p>
    <w:p>
      <w:pPr>
        <w:pStyle w:val="Compact"/>
        <w:numPr>
          <w:ilvl w:val="0"/>
          <w:numId w:val="1024"/>
        </w:numPr>
      </w:pPr>
      <w:r>
        <w:t xml:space="preserve">seuils de confiance ;</w:t>
      </w:r>
    </w:p>
    <w:p>
      <w:pPr>
        <w:pStyle w:val="Compact"/>
        <w:numPr>
          <w:ilvl w:val="0"/>
          <w:numId w:val="1024"/>
        </w:numPr>
      </w:pPr>
      <w:r>
        <w:t xml:space="preserve">règles juridiques de délégation ;</w:t>
      </w:r>
    </w:p>
    <w:p>
      <w:pPr>
        <w:pStyle w:val="Compact"/>
        <w:numPr>
          <w:ilvl w:val="0"/>
          <w:numId w:val="1024"/>
        </w:numPr>
      </w:pPr>
      <w:r>
        <w:t xml:space="preserve">preuve minimale exigée ;</w:t>
      </w:r>
    </w:p>
    <w:p>
      <w:pPr>
        <w:pStyle w:val="Compact"/>
        <w:numPr>
          <w:ilvl w:val="0"/>
          <w:numId w:val="1024"/>
        </w:numPr>
      </w:pPr>
      <w:r>
        <w:t xml:space="preserve">capacité de plusieurs missions simultanées.</w:t>
      </w:r>
    </w:p>
    <w:p>
      <w:pPr>
        <w:pStyle w:val="FirstParagraph"/>
      </w:pPr>
      <w:r>
        <w:t xml:space="preserve">Ces éléments ne doivent pas être inventés avant observation et expérimentation.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impact-sur-la-prochaine-étape"/>
    <w:p>
      <w:pPr>
        <w:pStyle w:val="Heading1"/>
      </w:pPr>
      <w:r>
        <w:t xml:space="preserve">12. Impact sur la prochaine étape</w:t>
      </w:r>
    </w:p>
    <w:p>
      <w:pPr>
        <w:pStyle w:val="FirstParagraph"/>
      </w:pPr>
      <w:r>
        <w:t xml:space="preserve">Le DDD stratégique possède maintenant une base suffisamment précise pour passer à l’étape suivante :</w:t>
      </w:r>
    </w:p>
    <w:bookmarkStart w:id="70" w:name="langage-ubiquitaire-par-bounded-context"/>
    <w:p>
      <w:pPr>
        <w:pStyle w:val="Heading2"/>
      </w:pPr>
      <w:r>
        <w:t xml:space="preserve">Langage ubiquitaire par Bounded Context</w:t>
      </w:r>
    </w:p>
    <w:p>
      <w:pPr>
        <w:pStyle w:val="FirstParagraph"/>
      </w:pPr>
      <w:r>
        <w:t xml:space="preserve">Il faudra produire, pour chaque contexte :</w:t>
      </w:r>
    </w:p>
    <w:p>
      <w:pPr>
        <w:pStyle w:val="Compact"/>
        <w:numPr>
          <w:ilvl w:val="0"/>
          <w:numId w:val="1025"/>
        </w:numPr>
      </w:pPr>
      <w:r>
        <w:t xml:space="preserve">termes officiels ;</w:t>
      </w:r>
    </w:p>
    <w:p>
      <w:pPr>
        <w:pStyle w:val="Compact"/>
        <w:numPr>
          <w:ilvl w:val="0"/>
          <w:numId w:val="1025"/>
        </w:numPr>
      </w:pPr>
      <w:r>
        <w:t xml:space="preserve">termes interdits / synonymes à éliminer ;</w:t>
      </w:r>
    </w:p>
    <w:p>
      <w:pPr>
        <w:pStyle w:val="Compact"/>
        <w:numPr>
          <w:ilvl w:val="0"/>
          <w:numId w:val="1025"/>
        </w:numPr>
      </w:pPr>
      <w:r>
        <w:t xml:space="preserve">définitions ;</w:t>
      </w:r>
    </w:p>
    <w:p>
      <w:pPr>
        <w:pStyle w:val="Compact"/>
        <w:numPr>
          <w:ilvl w:val="0"/>
          <w:numId w:val="1025"/>
        </w:numPr>
      </w:pPr>
      <w:r>
        <w:t xml:space="preserve">responsabilités ;</w:t>
      </w:r>
    </w:p>
    <w:p>
      <w:pPr>
        <w:pStyle w:val="Compact"/>
        <w:numPr>
          <w:ilvl w:val="0"/>
          <w:numId w:val="1025"/>
        </w:numPr>
      </w:pPr>
      <w:r>
        <w:t xml:space="preserve">événements entrants ;</w:t>
      </w:r>
    </w:p>
    <w:p>
      <w:pPr>
        <w:pStyle w:val="Compact"/>
        <w:numPr>
          <w:ilvl w:val="0"/>
          <w:numId w:val="1025"/>
        </w:numPr>
      </w:pPr>
      <w:r>
        <w:t xml:space="preserve">événements sortants ;</w:t>
      </w:r>
    </w:p>
    <w:p>
      <w:pPr>
        <w:pStyle w:val="Compact"/>
        <w:numPr>
          <w:ilvl w:val="0"/>
          <w:numId w:val="1025"/>
        </w:numPr>
      </w:pPr>
      <w:r>
        <w:t xml:space="preserve">commandes ;</w:t>
      </w:r>
    </w:p>
    <w:p>
      <w:pPr>
        <w:pStyle w:val="Compact"/>
        <w:numPr>
          <w:ilvl w:val="0"/>
          <w:numId w:val="1025"/>
        </w:numPr>
      </w:pPr>
      <w:r>
        <w:t xml:space="preserve">invariants ;</w:t>
      </w:r>
    </w:p>
    <w:p>
      <w:pPr>
        <w:pStyle w:val="Compact"/>
        <w:numPr>
          <w:ilvl w:val="0"/>
          <w:numId w:val="1025"/>
        </w:numPr>
      </w:pPr>
      <w:r>
        <w:t xml:space="preserve">objets stratégiques ;</w:t>
      </w:r>
    </w:p>
    <w:p>
      <w:pPr>
        <w:pStyle w:val="Compact"/>
        <w:numPr>
          <w:ilvl w:val="0"/>
          <w:numId w:val="1025"/>
        </w:numPr>
      </w:pPr>
      <w:r>
        <w:t xml:space="preserve">dépendances vers les autres contextes.</w:t>
      </w:r>
    </w:p>
    <w:p>
      <w:pPr>
        <w:pStyle w:val="FirstParagraph"/>
      </w:pPr>
      <w:r>
        <w:t xml:space="preserve">Puis :</w:t>
      </w:r>
    </w:p>
    <w:p>
      <w:pPr>
        <w:pStyle w:val="SourceCode"/>
      </w:pPr>
      <w:r>
        <w:rPr>
          <w:rStyle w:val="VerbatimChar"/>
        </w:rPr>
        <w:t xml:space="preserve">DDD stratégique v0.2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Ubiquitous Language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Context Map stabilisée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Core Domain final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DDD tactique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critère-de-sortie-du-ddd-stratégique"/>
    <w:p>
      <w:pPr>
        <w:pStyle w:val="Heading1"/>
      </w:pPr>
      <w:r>
        <w:t xml:space="preserve">13. Critère de sortie du DDD stratégique</w:t>
      </w:r>
    </w:p>
    <w:p>
      <w:pPr>
        <w:pStyle w:val="FirstParagraph"/>
      </w:pPr>
      <w:r>
        <w:t xml:space="preserve">Le passage au DDD tactique sera autorisé lorsque :</w:t>
      </w:r>
    </w:p>
    <w:p>
      <w:pPr>
        <w:pStyle w:val="Compact"/>
        <w:numPr>
          <w:ilvl w:val="0"/>
          <w:numId w:val="1026"/>
        </w:numPr>
      </w:pPr>
      <w:r>
        <w:t xml:space="preserve">les termes clés n’ont plus plusieurs sens contradictoires ;</w:t>
      </w:r>
    </w:p>
    <w:p>
      <w:pPr>
        <w:pStyle w:val="Compact"/>
        <w:numPr>
          <w:ilvl w:val="0"/>
          <w:numId w:val="1026"/>
        </w:numPr>
      </w:pPr>
      <w:r>
        <w:t xml:space="preserve">chaque contexte possède un langage cohérent ;</w:t>
      </w:r>
    </w:p>
    <w:p>
      <w:pPr>
        <w:pStyle w:val="Compact"/>
        <w:numPr>
          <w:ilvl w:val="0"/>
          <w:numId w:val="1026"/>
        </w:numPr>
      </w:pPr>
      <w:r>
        <w:t xml:space="preserve">les responsabilités ne se chevauchent pas ;</w:t>
      </w:r>
    </w:p>
    <w:p>
      <w:pPr>
        <w:pStyle w:val="Compact"/>
        <w:numPr>
          <w:ilvl w:val="0"/>
          <w:numId w:val="1026"/>
        </w:numPr>
      </w:pPr>
      <w:r>
        <w:t xml:space="preserve">le Core Domain est justifié par la stratégie ;</w:t>
      </w:r>
    </w:p>
    <w:p>
      <w:pPr>
        <w:pStyle w:val="Compact"/>
        <w:numPr>
          <w:ilvl w:val="0"/>
          <w:numId w:val="1026"/>
        </w:numPr>
      </w:pPr>
      <w:r>
        <w:t xml:space="preserve">les interactions inter-contextes sont explicables ;</w:t>
      </w:r>
    </w:p>
    <w:p>
      <w:pPr>
        <w:pStyle w:val="Compact"/>
        <w:numPr>
          <w:ilvl w:val="0"/>
          <w:numId w:val="1026"/>
        </w:numPr>
      </w:pPr>
      <w:r>
        <w:t xml:space="preserve">les invariants critiques sont localisés ;</w:t>
      </w:r>
    </w:p>
    <w:p>
      <w:pPr>
        <w:pStyle w:val="Compact"/>
        <w:numPr>
          <w:ilvl w:val="0"/>
          <w:numId w:val="1026"/>
        </w:numPr>
      </w:pPr>
      <w:r>
        <w:t xml:space="preserve">les cas d’exception structurants sont couverts ;</w:t>
      </w:r>
    </w:p>
    <w:p>
      <w:pPr>
        <w:pStyle w:val="Compact"/>
        <w:numPr>
          <w:ilvl w:val="0"/>
          <w:numId w:val="1026"/>
        </w:numPr>
      </w:pPr>
      <w:r>
        <w:t xml:space="preserve">les hypothèses encore ouvertes sont explicitement enregistrées.</w:t>
      </w:r>
    </w:p>
    <w:p>
      <w:r>
        <w:pict>
          <v:rect style="width:0;height:1.5pt" o:hralign="center" o:hrstd="t" o:hr="t"/>
        </w:pict>
      </w:r>
    </w:p>
    <w:bookmarkEnd w:id="72"/>
    <w:bookmarkStart w:id="74" w:name="conclusion"/>
    <w:p>
      <w:pPr>
        <w:pStyle w:val="Heading1"/>
      </w:pPr>
      <w:r>
        <w:t xml:space="preserve">14. Conclusion</w:t>
      </w:r>
    </w:p>
    <w:p>
      <w:pPr>
        <w:pStyle w:val="FirstParagraph"/>
      </w:pPr>
      <w:r>
        <w:t xml:space="preserve">Les six questions ont maintenant produit une structure conceptuelle beaucoup plus forte.</w:t>
      </w:r>
    </w:p>
    <w:p>
      <w:pPr>
        <w:pStyle w:val="BodyText"/>
      </w:pPr>
      <w:r>
        <w:t xml:space="preserve">Le domaine n’est plus modélisé autour de :</w:t>
      </w:r>
    </w:p>
    <w:p>
      <w:pPr>
        <w:pStyle w:val="BlockText"/>
      </w:pPr>
      <w:r>
        <w:rPr>
          <w:b/>
          <w:bCs/>
        </w:rPr>
        <w:t xml:space="preserve">« une livraison à affecter à un livreur »</w:t>
      </w:r>
    </w:p>
    <w:p>
      <w:pPr>
        <w:pStyle w:val="FirstParagraph"/>
      </w:pPr>
      <w:r>
        <w:t xml:space="preserve">mais autour de :</w:t>
      </w:r>
    </w:p>
    <w:p>
      <w:pPr>
        <w:pStyle w:val="BlockText"/>
      </w:pPr>
      <w:r>
        <w:rPr>
          <w:b/>
          <w:bCs/>
        </w:rPr>
        <w:t xml:space="preserve">« une opportunité d’exécution à rendre compatible avec une capacité, puis à engager dans un réseau d’acteurs autonomes, avec responsabilité et preuve traçables ».</w:t>
      </w:r>
    </w:p>
    <w:p>
      <w:pPr>
        <w:pStyle w:val="FirstParagraph"/>
      </w:pPr>
      <w:r>
        <w:t xml:space="preserve">C’est cette abstraction qui rapproche réellement le DDD de notre intention Zero-to-One.</w:t>
      </w:r>
    </w:p>
    <w:p>
      <w:pPr>
        <w:pStyle w:val="BodyText"/>
      </w:pPr>
      <w:r>
        <w:t xml:space="preserve">Le candidat Core Domain devient :</w:t>
      </w:r>
    </w:p>
    <w:p>
      <w:pPr>
        <w:pStyle w:val="BlockText"/>
      </w:pPr>
      <w:r>
        <w:rPr>
          <w:b/>
          <w:bCs/>
        </w:rPr>
        <w:t xml:space="preserve">Orchestration fédérée de l’échange de capacités.</w:t>
      </w:r>
    </w:p>
    <w:p>
      <w:pPr>
        <w:pStyle w:val="FirstParagraph"/>
      </w:pPr>
      <w:r>
        <w:t xml:space="preserve">Statut :</w:t>
      </w:r>
      <w:r>
        <w:t xml:space="preserve"> </w:t>
      </w:r>
      <w:r>
        <w:rPr>
          <w:b/>
          <w:bCs/>
        </w:rPr>
        <w:t xml:space="preserve">CANDIDAT FORT — À CONFIRMER PAR LE LANGAGE UBIQUITAIRE ET LES VALIDATIONS TERRAIN.</w:t>
      </w:r>
    </w:p>
    <w:p>
      <w:r>
        <w:pict>
          <v:rect style="width:0;height:1.5pt" o:hralign="center" o:hrstd="t" o:hr="t"/>
        </w:pict>
      </w:r>
    </w:p>
    <w:bookmarkStart w:id="73" w:name="historique"/>
    <w:p>
      <w:pPr>
        <w:pStyle w:val="Heading2"/>
      </w:pPr>
      <w:r>
        <w:t xml:space="preserve">Historique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août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Résolution des six questions critiques du DDD stratégique. Stabilisation de Capacity, Engagement, Opportunity, Compatibility, Opening Policy et Contextual Trust.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 du Document 3B — DDD stratégique v0.2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2026-08-25T14:38:11Z</dcterms:created>
  <dcterms:modified xsi:type="dcterms:W3CDTF">2026-08-25T14:38:11Z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