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ntext-map-écosystème-de-livraison"/>
    <w:p>
      <w:pPr>
        <w:pStyle w:val="Heading1"/>
      </w:pPr>
      <w:r>
        <w:t xml:space="preserve">Context Map — Écosystème de livraison</w:t>
      </w:r>
    </w:p>
    <w:p>
      <w:pPr>
        <w:pStyle w:val="FirstParagraph"/>
      </w:pPr>
      <w:r>
        <w:rPr>
          <w:b/>
          <w:bCs/>
        </w:rPr>
        <w:t xml:space="preserve">Document 07 — Context Map stratégique</w:t>
      </w:r>
      <w:r>
        <w:br/>
      </w:r>
      <w:r>
        <w:rPr>
          <w:b/>
          <w:bCs/>
        </w:rPr>
        <w:t xml:space="preserve">Version : 0.1</w:t>
      </w:r>
      <w:r>
        <w:br/>
      </w:r>
      <w:r>
        <w:rPr>
          <w:b/>
          <w:bCs/>
        </w:rPr>
        <w:t xml:space="preserve">Date : 25 août 2026</w:t>
      </w:r>
      <w:r>
        <w:br/>
      </w:r>
      <w:r>
        <w:rPr>
          <w:b/>
          <w:bCs/>
        </w:rPr>
        <w:t xml:space="preserve">Statut : BASELINE DDD STRATÉGIQUE</w:t>
      </w:r>
    </w:p>
    <w:p>
      <w:r>
        <w:pict>
          <v:rect style="width:0;height:1.5pt" o:hralign="center" o:hrstd="t" o:hr="t"/>
        </w:pict>
      </w:r>
    </w:p>
    <w:bookmarkStart w:id="20" w:name="objet"/>
    <w:p>
      <w:pPr>
        <w:pStyle w:val="Heading2"/>
      </w:pPr>
      <w:r>
        <w:t xml:space="preserve">0. Objet</w:t>
      </w:r>
    </w:p>
    <w:p>
      <w:pPr>
        <w:pStyle w:val="FirstParagraph"/>
      </w:pPr>
      <w:r>
        <w:t xml:space="preserve">Ce document formalise les relations entre les Bounded Contexts issus du DDD stratégique v0.2 et du langage ubiquitaire v0.1.</w:t>
      </w:r>
    </w:p>
    <w:p>
      <w:pPr>
        <w:pStyle w:val="BodyText"/>
      </w:pPr>
      <w:r>
        <w:t xml:space="preserve">Il ne décrit pas encore les composants logiciels, les APIs, les bases de données ou les technologies.</w:t>
      </w:r>
    </w:p>
    <w:p>
      <w:pPr>
        <w:pStyle w:val="BodyText"/>
      </w:pPr>
      <w:r>
        <w:t xml:space="preserve">Il décrit :</w:t>
      </w:r>
    </w:p>
    <w:p>
      <w:pPr>
        <w:pStyle w:val="Compact"/>
        <w:numPr>
          <w:ilvl w:val="0"/>
          <w:numId w:val="1001"/>
        </w:numPr>
      </w:pPr>
      <w:r>
        <w:t xml:space="preserve">les frontières de responsabilité ;</w:t>
      </w:r>
    </w:p>
    <w:p>
      <w:pPr>
        <w:pStyle w:val="Compact"/>
        <w:numPr>
          <w:ilvl w:val="0"/>
          <w:numId w:val="1001"/>
        </w:numPr>
      </w:pPr>
      <w:r>
        <w:t xml:space="preserve">les relations entre contextes ;</w:t>
      </w:r>
    </w:p>
    <w:p>
      <w:pPr>
        <w:pStyle w:val="Compact"/>
        <w:numPr>
          <w:ilvl w:val="0"/>
          <w:numId w:val="1001"/>
        </w:numPr>
      </w:pPr>
      <w:r>
        <w:t xml:space="preserve">les directions de dépendance métier ;</w:t>
      </w:r>
    </w:p>
    <w:p>
      <w:pPr>
        <w:pStyle w:val="Compact"/>
        <w:numPr>
          <w:ilvl w:val="0"/>
          <w:numId w:val="1001"/>
        </w:numPr>
      </w:pPr>
      <w:r>
        <w:t xml:space="preserve">les contrats conceptuels d’échange ;</w:t>
      </w:r>
    </w:p>
    <w:p>
      <w:pPr>
        <w:pStyle w:val="Compact"/>
        <w:numPr>
          <w:ilvl w:val="0"/>
          <w:numId w:val="1001"/>
        </w:numPr>
      </w:pPr>
      <w:r>
        <w:t xml:space="preserve">les relations Customer/Supplier ;</w:t>
      </w:r>
    </w:p>
    <w:p>
      <w:pPr>
        <w:pStyle w:val="Compact"/>
        <w:numPr>
          <w:ilvl w:val="0"/>
          <w:numId w:val="1001"/>
        </w:numPr>
      </w:pPr>
      <w:r>
        <w:t xml:space="preserve">les relations conformistes ou ACL lorsqu’elles sont nécessaires ;</w:t>
      </w:r>
    </w:p>
    <w:p>
      <w:pPr>
        <w:pStyle w:val="Compact"/>
        <w:numPr>
          <w:ilvl w:val="0"/>
          <w:numId w:val="1001"/>
        </w:numPr>
      </w:pPr>
      <w:r>
        <w:t xml:space="preserve">le flux particulier d’une mission ouverte ;</w:t>
      </w:r>
    </w:p>
    <w:p>
      <w:pPr>
        <w:pStyle w:val="Compact"/>
        <w:numPr>
          <w:ilvl w:val="0"/>
          <w:numId w:val="1001"/>
        </w:numPr>
      </w:pPr>
      <w:r>
        <w:t xml:space="preserve">les règles d’accès équitable aux opportunités ;</w:t>
      </w:r>
    </w:p>
    <w:p>
      <w:pPr>
        <w:pStyle w:val="Compact"/>
        <w:numPr>
          <w:ilvl w:val="0"/>
          <w:numId w:val="1001"/>
        </w:numPr>
      </w:pPr>
      <w:r>
        <w:t xml:space="preserve">les points de découplage qui devront être préservés lors du DDD tactique.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ounded-contexts-retenus"/>
    <w:p>
      <w:pPr>
        <w:pStyle w:val="Heading1"/>
      </w:pPr>
      <w:r>
        <w:t xml:space="preserve">1. Bounded Contexts retenus</w:t>
      </w:r>
    </w:p>
    <w:p>
      <w:pPr>
        <w:pStyle w:val="FirstParagraph"/>
      </w:pPr>
      <w:r>
        <w:t xml:space="preserve">Le modèle stratégique retient huit contextes.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principale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Identité, organisation, affiliations, rôles et autorisations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&amp;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 des capacités et état de leur disponibilité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de vie de la mission et de ses étapes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Éligibilité, exposition, compatibilité, proposition, engagement et délégation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&amp;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physique, prise en charge, garde et transfert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&amp;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 spatial, lieux, étapes spatiales et contraintes de trajet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&amp;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Preuves, historique vérifiable, signaux de confiance et contestation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&amp;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Tarification, rémunération, frais, commissions et règlement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rte-stratégique"/>
    <w:p>
      <w:pPr>
        <w:pStyle w:val="Heading1"/>
      </w:pPr>
      <w:r>
        <w:t xml:space="preserve">2. Carte stratégique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Identity &amp; Organization │</w:t>
      </w:r>
      <w:r>
        <w:br/>
      </w:r>
      <w:r>
        <w:rPr>
          <w:rStyle w:val="VerbatimChar"/>
        </w:rPr>
        <w:t xml:space="preserve">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identité / affiliation /</w:t>
      </w:r>
      <w:r>
        <w:br/>
      </w:r>
      <w:r>
        <w:rPr>
          <w:rStyle w:val="VerbatimChar"/>
        </w:rPr>
        <w:t xml:space="preserve">                         autorisation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Capacity &amp; Availability│</w:t>
      </w:r>
      <w:r>
        <w:br/>
      </w:r>
      <w:r>
        <w:rPr>
          <w:rStyle w:val="VerbatimChar"/>
        </w:rPr>
        <w:t xml:space="preserve">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capacité / disponibilité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┌────────────────────┐      ┌─────────────────────────┐</w:t>
      </w:r>
      <w:r>
        <w:br/>
      </w:r>
      <w:r>
        <w:rPr>
          <w:rStyle w:val="VerbatimChar"/>
        </w:rPr>
        <w:t xml:space="preserve">│ Mission            │─────▶│                         │</w:t>
      </w:r>
      <w:r>
        <w:br/>
      </w:r>
      <w:r>
        <w:rPr>
          <w:rStyle w:val="VerbatimChar"/>
        </w:rPr>
        <w:t xml:space="preserve">│ Orchestration      │      │     Capacity Exchange   │</w:t>
      </w:r>
      <w:r>
        <w:br/>
      </w:r>
      <w:r>
        <w:rPr>
          <w:rStyle w:val="VerbatimChar"/>
        </w:rPr>
        <w:t xml:space="preserve">└─────────┬──────────┘      │       CORE DOMAIN       │</w:t>
      </w:r>
      <w:r>
        <w:br/>
      </w:r>
      <w:r>
        <w:rPr>
          <w:rStyle w:val="VerbatimChar"/>
        </w:rPr>
        <w:t xml:space="preserve">          │                 │                         │</w:t>
      </w:r>
      <w:r>
        <w:br/>
      </w:r>
      <w:r>
        <w:rPr>
          <w:rStyle w:val="VerbatimChar"/>
        </w:rPr>
        <w:t xml:space="preserve">          │ besoin /        └──────┬──────┬───────────┘</w:t>
      </w:r>
      <w:r>
        <w:br/>
      </w:r>
      <w:r>
        <w:rPr>
          <w:rStyle w:val="VerbatimChar"/>
        </w:rPr>
        <w:t xml:space="preserve">          │ opportunité             │      │</w:t>
      </w:r>
      <w:r>
        <w:br/>
      </w:r>
      <w:r>
        <w:rPr>
          <w:rStyle w:val="VerbatimChar"/>
        </w:rPr>
        <w:t xml:space="preserve">          │                         │      │</w:t>
      </w:r>
      <w:r>
        <w:br/>
      </w:r>
      <w:r>
        <w:rPr>
          <w:rStyle w:val="VerbatimChar"/>
        </w:rPr>
        <w:t xml:space="preserve">          ▼                         ▼      ▼</w:t>
      </w:r>
      <w:r>
        <w:br/>
      </w:r>
      <w:r>
        <w:rPr>
          <w:rStyle w:val="VerbatimChar"/>
        </w:rPr>
        <w:t xml:space="preserve">┌────────────────────┐     ┌────────────┐ ┌─────────────────────┐</w:t>
      </w:r>
      <w:r>
        <w:br/>
      </w:r>
      <w:r>
        <w:rPr>
          <w:rStyle w:val="VerbatimChar"/>
        </w:rPr>
        <w:t xml:space="preserve">│ Location &amp; Journey │◀────│ Execution  │ │ Trust &amp; Evidence    │</w:t>
      </w:r>
      <w:r>
        <w:br/>
      </w:r>
      <w:r>
        <w:rPr>
          <w:rStyle w:val="VerbatimChar"/>
        </w:rPr>
        <w:t xml:space="preserve">└────────────────────┘     │ &amp; Custody  │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└─────┬──────┘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│ Settlement &amp;        │</w:t>
      </w:r>
      <w:r>
        <w:br/>
      </w:r>
      <w:r>
        <w:rPr>
          <w:rStyle w:val="VerbatimChar"/>
        </w:rPr>
        <w:t xml:space="preserve">                       │ Economics        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└─────────────────────┘</w:t>
      </w:r>
    </w:p>
    <w:p>
      <w:pPr>
        <w:pStyle w:val="FirstParagraph"/>
      </w:pPr>
      <w:r>
        <w:t xml:space="preserve">Cette carte exprime une règle fondamentale :</w:t>
      </w:r>
    </w:p>
    <w:p>
      <w:pPr>
        <w:pStyle w:val="BlockText"/>
      </w:pPr>
      <w:r>
        <w:t xml:space="preserve">Aucun contexte ne doit absorber la responsabilité d’un autre contexte simplement parce qu’il a besoin de son information.</w:t>
      </w:r>
    </w:p>
    <w:p>
      <w:r>
        <w:pict>
          <v:rect style="width:0;height:1.5pt" o:hralign="center" o:hrstd="t" o:hr="t"/>
        </w:pict>
      </w:r>
    </w:p>
    <w:bookmarkEnd w:id="23"/>
    <w:bookmarkStart w:id="24" w:name="positionnement-du-core-domain"/>
    <w:p>
      <w:pPr>
        <w:pStyle w:val="Heading1"/>
      </w:pPr>
      <w:r>
        <w:t xml:space="preserve">3. Positionnement du Core Domain</w:t>
      </w:r>
    </w:p>
    <w:p>
      <w:pPr>
        <w:pStyle w:val="FirstParagraph"/>
      </w:pPr>
      <w:r>
        <w:rPr>
          <w:rStyle w:val="VerbatimChar"/>
        </w:rPr>
        <w:t xml:space="preserve">Capacity Exchange</w:t>
      </w:r>
      <w:r>
        <w:t xml:space="preserve"> </w:t>
      </w:r>
      <w:r>
        <w:t xml:space="preserve">est la frontière stratégique centrale.</w:t>
      </w:r>
    </w:p>
    <w:p>
      <w:pPr>
        <w:pStyle w:val="BodyText"/>
      </w:pPr>
      <w:r>
        <w:t xml:space="preserve">Il transforme :</w:t>
      </w:r>
    </w:p>
    <w:p>
      <w:pPr>
        <w:pStyle w:val="SourceCode"/>
      </w:pPr>
      <w:r>
        <w:rPr>
          <w:rStyle w:val="VerbatimChar"/>
        </w:rPr>
        <w:t xml:space="preserve">besoin d'exécution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capacités disponibles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contraintes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règles d'exposition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signaux de confiance</w:t>
      </w:r>
    </w:p>
    <w:p>
      <w:pPr>
        <w:pStyle w:val="FirstParagraph"/>
      </w:pPr>
      <w:r>
        <w:t xml:space="preserve">en :</w:t>
      </w:r>
    </w:p>
    <w:p>
      <w:pPr>
        <w:pStyle w:val="SourceCode"/>
      </w:pPr>
      <w:r>
        <w:rPr>
          <w:rStyle w:val="VerbatimChar"/>
        </w:rPr>
        <w:t xml:space="preserve">opportunité exposée</w:t>
      </w:r>
      <w:r>
        <w:br/>
      </w:r>
      <w:r>
        <w:rPr>
          <w:rStyle w:val="VerbatimChar"/>
        </w:rPr>
        <w:t xml:space="preserve">      →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    →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   →</w:t>
      </w:r>
      <w:r>
        <w:br/>
      </w:r>
      <w:r>
        <w:rPr>
          <w:rStyle w:val="VerbatimChar"/>
        </w:rPr>
        <w:t xml:space="preserve">éventuellement délégation</w:t>
      </w:r>
    </w:p>
    <w:p>
      <w:pPr>
        <w:pStyle w:val="FirstParagraph"/>
      </w:pPr>
      <w:r>
        <w:t xml:space="preserve">Il ne possède cependant pas :</w:t>
      </w:r>
    </w:p>
    <w:p>
      <w:pPr>
        <w:pStyle w:val="Compact"/>
        <w:numPr>
          <w:ilvl w:val="0"/>
          <w:numId w:val="1002"/>
        </w:numPr>
      </w:pPr>
      <w:r>
        <w:t xml:space="preserve">le cycle de vie complet de la mission ;</w:t>
      </w:r>
    </w:p>
    <w:p>
      <w:pPr>
        <w:pStyle w:val="Compact"/>
        <w:numPr>
          <w:ilvl w:val="0"/>
          <w:numId w:val="1002"/>
        </w:numPr>
      </w:pPr>
      <w:r>
        <w:t xml:space="preserve">la disponibilité brute d’une capacité ;</w:t>
      </w:r>
    </w:p>
    <w:p>
      <w:pPr>
        <w:pStyle w:val="Compact"/>
        <w:numPr>
          <w:ilvl w:val="0"/>
          <w:numId w:val="1002"/>
        </w:numPr>
      </w:pPr>
      <w:r>
        <w:t xml:space="preserve">la garde physique ;</w:t>
      </w:r>
    </w:p>
    <w:p>
      <w:pPr>
        <w:pStyle w:val="Compact"/>
        <w:numPr>
          <w:ilvl w:val="0"/>
          <w:numId w:val="1002"/>
        </w:numPr>
      </w:pPr>
      <w:r>
        <w:t xml:space="preserve">la vérité géographique ;</w:t>
      </w:r>
    </w:p>
    <w:p>
      <w:pPr>
        <w:pStyle w:val="Compact"/>
        <w:numPr>
          <w:ilvl w:val="0"/>
          <w:numId w:val="1002"/>
        </w:numPr>
      </w:pPr>
      <w:r>
        <w:t xml:space="preserve">la preuve opérationnelle ;</w:t>
      </w:r>
    </w:p>
    <w:p>
      <w:pPr>
        <w:pStyle w:val="Compact"/>
        <w:numPr>
          <w:ilvl w:val="0"/>
          <w:numId w:val="1002"/>
        </w:numPr>
      </w:pPr>
      <w:r>
        <w:t xml:space="preserve">le règlement financier.</w:t>
      </w:r>
    </w:p>
    <w:p>
      <w:r>
        <w:pict>
          <v:rect style="width:0;height:1.5pt" o:hralign="center" o:hrstd="t" o:hr="t"/>
        </w:pict>
      </w:r>
    </w:p>
    <w:bookmarkEnd w:id="24"/>
    <w:bookmarkStart w:id="30" w:name="relations-entre-contextes"/>
    <w:p>
      <w:pPr>
        <w:pStyle w:val="Heading1"/>
      </w:pPr>
      <w:r>
        <w:t xml:space="preserve">4. Relations entre contextes</w:t>
      </w:r>
    </w:p>
    <w:bookmarkStart w:id="27" w:name="X6ccfeb5cbe2eb9a8885141872ffa65b0a47dc88"/>
    <w:p>
      <w:pPr>
        <w:pStyle w:val="Heading2"/>
      </w:pPr>
      <w:r>
        <w:t xml:space="preserve">4.1 Identity &amp; Organization → Capacity &amp; Availability</w:t>
      </w:r>
    </w:p>
    <w:p>
      <w:pPr>
        <w:pStyle w:val="FirstParagraph"/>
      </w:pPr>
      <w:r>
        <w:rPr>
          <w:b/>
          <w:bCs/>
        </w:rPr>
        <w:t xml:space="preserve">Relation : Customer/Supplier</w:t>
      </w:r>
    </w:p>
    <w:p>
      <w:pPr>
        <w:pStyle w:val="BodyText"/>
      </w:pPr>
      <w:r>
        <w:t xml:space="preserve">Identity &amp; Organization fournit :</w:t>
      </w:r>
    </w:p>
    <w:p>
      <w:pPr>
        <w:pStyle w:val="Compact"/>
        <w:numPr>
          <w:ilvl w:val="0"/>
          <w:numId w:val="1003"/>
        </w:numPr>
      </w:pPr>
      <w:r>
        <w:t xml:space="preserve">identité de la personne ;</w:t>
      </w:r>
    </w:p>
    <w:p>
      <w:pPr>
        <w:pStyle w:val="Compact"/>
        <w:numPr>
          <w:ilvl w:val="0"/>
          <w:numId w:val="1003"/>
        </w:numPr>
      </w:pPr>
      <w:r>
        <w:t xml:space="preserve">organisation ;</w:t>
      </w:r>
    </w:p>
    <w:p>
      <w:pPr>
        <w:pStyle w:val="Compact"/>
        <w:numPr>
          <w:ilvl w:val="0"/>
          <w:numId w:val="1003"/>
        </w:numPr>
      </w:pPr>
      <w:r>
        <w:t xml:space="preserve">affiliation ;</w:t>
      </w:r>
    </w:p>
    <w:p>
      <w:pPr>
        <w:pStyle w:val="Compact"/>
        <w:numPr>
          <w:ilvl w:val="0"/>
          <w:numId w:val="1003"/>
        </w:numPr>
      </w:pPr>
      <w:r>
        <w:t xml:space="preserve">rôle ;</w:t>
      </w:r>
    </w:p>
    <w:p>
      <w:pPr>
        <w:pStyle w:val="Compact"/>
        <w:numPr>
          <w:ilvl w:val="0"/>
          <w:numId w:val="1003"/>
        </w:numPr>
      </w:pPr>
      <w:r>
        <w:t xml:space="preserve">autorisation.</w:t>
      </w:r>
    </w:p>
    <w:p>
      <w:pPr>
        <w:pStyle w:val="FirstParagraph"/>
      </w:pPr>
      <w:r>
        <w:t xml:space="preserve">Capacity &amp; Availability transforme ces éléments en capacité opérationnelle.</w:t>
      </w:r>
    </w:p>
    <w:bookmarkStart w:id="25" w:name="contrat-conceptuel"/>
    <w:p>
      <w:pPr>
        <w:pStyle w:val="Heading3"/>
      </w:pPr>
      <w:r>
        <w:t xml:space="preserve">Contrat conceptuel</w:t>
      </w:r>
    </w:p>
    <w:p>
      <w:pPr>
        <w:pStyle w:val="SourceCode"/>
      </w:pPr>
      <w:r>
        <w:rPr>
          <w:rStyle w:val="VerbatimChar"/>
        </w:rPr>
        <w:t xml:space="preserve">Identity / Affiliation / Role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Capacity Definition</w:t>
      </w:r>
    </w:p>
    <w:bookmarkEnd w:id="25"/>
    <w:bookmarkStart w:id="26" w:name="règle"/>
    <w:p>
      <w:pPr>
        <w:pStyle w:val="Heading3"/>
      </w:pPr>
      <w:r>
        <w:t xml:space="preserve">Règle</w:t>
      </w:r>
    </w:p>
    <w:p>
      <w:pPr>
        <w:pStyle w:val="FirstParagraph"/>
      </w:pPr>
      <w:r>
        <w:t xml:space="preserve">Capacity &amp; Availability ne redéfinit pas l’identité.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847043f081b0f5e5043610a322943181f6f4cd"/>
    <w:p>
      <w:pPr>
        <w:pStyle w:val="Heading2"/>
      </w:pPr>
      <w:r>
        <w:t xml:space="preserve">4.2 Identity &amp; Organization → Mission Orchestration</w:t>
      </w:r>
    </w:p>
    <w:p>
      <w:pPr>
        <w:pStyle w:val="FirstParagraph"/>
      </w:pPr>
      <w:r>
        <w:rPr>
          <w:b/>
          <w:bCs/>
        </w:rPr>
        <w:t xml:space="preserve">Relation : Customer/Supplier</w:t>
      </w:r>
    </w:p>
    <w:p>
      <w:pPr>
        <w:pStyle w:val="BodyText"/>
      </w:pPr>
      <w:r>
        <w:t xml:space="preserve">Mission Orchestration dépend de l’identité du demandeur et des droits nécessaires à la création ou à la gestion d’une mission.</w:t>
      </w:r>
    </w:p>
    <w:p>
      <w:r>
        <w:pict>
          <v:rect style="width:0;height:1.5pt" o:hralign="center" o:hrstd="t" o:hr="t"/>
        </w:pict>
      </w:r>
    </w:p>
    <w:bookmarkEnd w:id="28"/>
    <w:bookmarkStart w:id="29" w:name="identity-organization-capacity-exchange"/>
    <w:p>
      <w:pPr>
        <w:pStyle w:val="Heading2"/>
      </w:pPr>
      <w:r>
        <w:t xml:space="preserve">4.3 Identity &amp; Organization → Capacity Exchange</w:t>
      </w:r>
    </w:p>
    <w:p>
      <w:pPr>
        <w:pStyle w:val="FirstParagraph"/>
      </w:pPr>
      <w:r>
        <w:rPr>
          <w:b/>
          <w:bCs/>
        </w:rPr>
        <w:t xml:space="preserve">Relation : Supplier</w:t>
      </w:r>
    </w:p>
    <w:p>
      <w:pPr>
        <w:pStyle w:val="BodyText"/>
      </w:pPr>
      <w:r>
        <w:t xml:space="preserve">Capacity Exchange utilise :</w:t>
      </w:r>
    </w:p>
    <w:p>
      <w:pPr>
        <w:pStyle w:val="Compact"/>
        <w:numPr>
          <w:ilvl w:val="0"/>
          <w:numId w:val="1004"/>
        </w:numPr>
      </w:pPr>
      <w:r>
        <w:t xml:space="preserve">identité ;</w:t>
      </w:r>
    </w:p>
    <w:p>
      <w:pPr>
        <w:pStyle w:val="Compact"/>
        <w:numPr>
          <w:ilvl w:val="0"/>
          <w:numId w:val="1004"/>
        </w:numPr>
      </w:pPr>
      <w:r>
        <w:t xml:space="preserve">affiliation ;</w:t>
      </w:r>
    </w:p>
    <w:p>
      <w:pPr>
        <w:pStyle w:val="Compact"/>
        <w:numPr>
          <w:ilvl w:val="0"/>
          <w:numId w:val="1004"/>
        </w:numPr>
      </w:pPr>
      <w:r>
        <w:t xml:space="preserve">rôle ;</w:t>
      </w:r>
    </w:p>
    <w:p>
      <w:pPr>
        <w:pStyle w:val="Compact"/>
        <w:numPr>
          <w:ilvl w:val="0"/>
          <w:numId w:val="1004"/>
        </w:numPr>
      </w:pPr>
      <w:r>
        <w:t xml:space="preserve">statut d’autorisation.</w:t>
      </w:r>
    </w:p>
    <w:p>
      <w:pPr>
        <w:pStyle w:val="FirstParagraph"/>
      </w:pPr>
      <w:r>
        <w:t xml:space="preserve">Il ne doit pas devenir propriétaire de ces concepts.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apacity-availability-capacity-exchange"/>
    <w:p>
      <w:pPr>
        <w:pStyle w:val="Heading1"/>
      </w:pPr>
      <w:r>
        <w:t xml:space="preserve">5. Capacity &amp; Availability → Capacity Exchange</w:t>
      </w:r>
    </w:p>
    <w:p>
      <w:pPr>
        <w:pStyle w:val="FirstParagraph"/>
      </w:pPr>
      <w:r>
        <w:rPr>
          <w:b/>
          <w:bCs/>
        </w:rPr>
        <w:t xml:space="preserve">Relation : Supplier</w:t>
      </w:r>
    </w:p>
    <w:p>
      <w:pPr>
        <w:pStyle w:val="BodyText"/>
      </w:pPr>
      <w:r>
        <w:t xml:space="preserve">Capacity &amp; Availability fournit la vérité sur :</w:t>
      </w:r>
    </w:p>
    <w:p>
      <w:pPr>
        <w:pStyle w:val="Compact"/>
        <w:numPr>
          <w:ilvl w:val="0"/>
          <w:numId w:val="1005"/>
        </w:numPr>
      </w:pPr>
      <w:r>
        <w:t xml:space="preserve">la capacité déclarée ;</w:t>
      </w:r>
    </w:p>
    <w:p>
      <w:pPr>
        <w:pStyle w:val="Compact"/>
        <w:numPr>
          <w:ilvl w:val="0"/>
          <w:numId w:val="1005"/>
        </w:numPr>
      </w:pPr>
      <w:r>
        <w:t xml:space="preserve">les attributs opérationnels ;</w:t>
      </w:r>
    </w:p>
    <w:p>
      <w:pPr>
        <w:pStyle w:val="Compact"/>
        <w:numPr>
          <w:ilvl w:val="0"/>
          <w:numId w:val="1005"/>
        </w:numPr>
      </w:pPr>
      <w:r>
        <w:t xml:space="preserve">la disponibilité ;</w:t>
      </w:r>
    </w:p>
    <w:p>
      <w:pPr>
        <w:pStyle w:val="Compact"/>
        <w:numPr>
          <w:ilvl w:val="0"/>
          <w:numId w:val="1005"/>
        </w:numPr>
      </w:pPr>
      <w:r>
        <w:t xml:space="preserve">les contraintes connues.</w:t>
      </w:r>
    </w:p>
    <w:p>
      <w:pPr>
        <w:pStyle w:val="FirstParagraph"/>
      </w:pPr>
      <w:r>
        <w:t xml:space="preserve">Capacity Exchange calcule ensuite :</w:t>
      </w:r>
    </w:p>
    <w:p>
      <w:pPr>
        <w:pStyle w:val="Compact"/>
        <w:numPr>
          <w:ilvl w:val="0"/>
          <w:numId w:val="1006"/>
        </w:numPr>
      </w:pPr>
      <w:r>
        <w:t xml:space="preserve">éligibilité ;</w:t>
      </w:r>
    </w:p>
    <w:p>
      <w:pPr>
        <w:pStyle w:val="Compact"/>
        <w:numPr>
          <w:ilvl w:val="0"/>
          <w:numId w:val="1006"/>
        </w:numPr>
      </w:pPr>
      <w:r>
        <w:t xml:space="preserve">compatibilité ;</w:t>
      </w:r>
    </w:p>
    <w:p>
      <w:pPr>
        <w:pStyle w:val="Compact"/>
        <w:numPr>
          <w:ilvl w:val="0"/>
          <w:numId w:val="1006"/>
        </w:numPr>
      </w:pPr>
      <w:r>
        <w:t xml:space="preserve">exposition ;</w:t>
      </w:r>
    </w:p>
    <w:p>
      <w:pPr>
        <w:pStyle w:val="Compact"/>
        <w:numPr>
          <w:ilvl w:val="0"/>
          <w:numId w:val="1006"/>
        </w:numPr>
      </w:pPr>
      <w:r>
        <w:t xml:space="preserve">proposition ;</w:t>
      </w:r>
    </w:p>
    <w:p>
      <w:pPr>
        <w:pStyle w:val="Compact"/>
        <w:numPr>
          <w:ilvl w:val="0"/>
          <w:numId w:val="1006"/>
        </w:numPr>
      </w:pPr>
      <w:r>
        <w:t xml:space="preserve">engagement.</w:t>
      </w:r>
    </w:p>
    <w:bookmarkStart w:id="31" w:name="invariant"/>
    <w:p>
      <w:pPr>
        <w:pStyle w:val="Heading3"/>
      </w:pPr>
      <w:r>
        <w:t xml:space="preserve">Invariant</w:t>
      </w:r>
    </w:p>
    <w:p>
      <w:pPr>
        <w:pStyle w:val="SourceCode"/>
      </w:pPr>
      <w:r>
        <w:rPr>
          <w:rStyle w:val="VerbatimChar"/>
        </w:rPr>
        <w:t xml:space="preserve">Disponibilité ≠ Éligibilité</w:t>
      </w:r>
    </w:p>
    <w:p>
      <w:pPr>
        <w:pStyle w:val="FirstParagraph"/>
      </w:pPr>
      <w:r>
        <w:t xml:space="preserve">Une capacité disponible peut être inéligible pour une opportunité particulière.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mission-orchestration-capacity-exchange"/>
    <w:p>
      <w:pPr>
        <w:pStyle w:val="Heading1"/>
      </w:pPr>
      <w:r>
        <w:t xml:space="preserve">6. Mission Orchestration → Capacity Exchange</w:t>
      </w:r>
    </w:p>
    <w:p>
      <w:pPr>
        <w:pStyle w:val="FirstParagraph"/>
      </w:pPr>
      <w:r>
        <w:rPr>
          <w:b/>
          <w:bCs/>
        </w:rPr>
        <w:t xml:space="preserve">Relation : Customer/Supplier</w:t>
      </w:r>
    </w:p>
    <w:p>
      <w:pPr>
        <w:pStyle w:val="BodyText"/>
      </w:pPr>
      <w:r>
        <w:t xml:space="preserve">Mission Orchestration exprime le besoin.</w:t>
      </w:r>
    </w:p>
    <w:p>
      <w:pPr>
        <w:pStyle w:val="BodyText"/>
      </w:pPr>
      <w:r>
        <w:t xml:space="preserve">Capacity Exchange détermine comment ce besoin peut être transformé en opportunité d’exécution.</w:t>
      </w:r>
    </w:p>
    <w:bookmarkStart w:id="33" w:name="flux"/>
    <w:p>
      <w:pPr>
        <w:pStyle w:val="Heading3"/>
      </w:pPr>
      <w:r>
        <w:t xml:space="preserve">Flux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Étape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Besoin d'exécution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Opportunité d'exécution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Capacity Exchange</w:t>
      </w:r>
    </w:p>
    <w:bookmarkEnd w:id="33"/>
    <w:bookmarkStart w:id="34" w:name="invariant-1"/>
    <w:p>
      <w:pPr>
        <w:pStyle w:val="Heading3"/>
      </w:pPr>
      <w:r>
        <w:t xml:space="preserve">Invariant</w:t>
      </w:r>
    </w:p>
    <w:p>
      <w:pPr>
        <w:pStyle w:val="FirstParagraph"/>
      </w:pPr>
      <w:r>
        <w:t xml:space="preserve">Mission Orchestration ne sélectionne pas directement une capacité.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location-journey-capacity-exchange"/>
    <w:p>
      <w:pPr>
        <w:pStyle w:val="Heading1"/>
      </w:pPr>
      <w:r>
        <w:t xml:space="preserve">7. Location &amp; Journey → Capacity Exchange</w:t>
      </w:r>
    </w:p>
    <w:p>
      <w:pPr>
        <w:pStyle w:val="FirstParagraph"/>
      </w:pPr>
      <w:r>
        <w:rPr>
          <w:b/>
          <w:bCs/>
        </w:rPr>
        <w:t xml:space="preserve">Relation : Supplier</w:t>
      </w:r>
    </w:p>
    <w:p>
      <w:pPr>
        <w:pStyle w:val="BodyText"/>
      </w:pPr>
      <w:r>
        <w:t xml:space="preserve">Location &amp; Journey fournit :</w:t>
      </w:r>
    </w:p>
    <w:p>
      <w:pPr>
        <w:pStyle w:val="Compact"/>
        <w:numPr>
          <w:ilvl w:val="0"/>
          <w:numId w:val="1007"/>
        </w:numPr>
      </w:pPr>
      <w:r>
        <w:t xml:space="preserve">lieux ;</w:t>
      </w:r>
    </w:p>
    <w:p>
      <w:pPr>
        <w:pStyle w:val="Compact"/>
        <w:numPr>
          <w:ilvl w:val="0"/>
          <w:numId w:val="1007"/>
        </w:numPr>
      </w:pPr>
      <w:r>
        <w:t xml:space="preserve">contexte spatial ;</w:t>
      </w:r>
    </w:p>
    <w:p>
      <w:pPr>
        <w:pStyle w:val="Compact"/>
        <w:numPr>
          <w:ilvl w:val="0"/>
          <w:numId w:val="1007"/>
        </w:numPr>
      </w:pPr>
      <w:r>
        <w:t xml:space="preserve">contraintes de trajet ;</w:t>
      </w:r>
    </w:p>
    <w:p>
      <w:pPr>
        <w:pStyle w:val="Compact"/>
        <w:numPr>
          <w:ilvl w:val="0"/>
          <w:numId w:val="1007"/>
        </w:numPr>
      </w:pPr>
      <w:r>
        <w:t xml:space="preserve">informations nécessaires à la comparaison spatiale.</w:t>
      </w:r>
    </w:p>
    <w:p>
      <w:pPr>
        <w:pStyle w:val="FirstParagraph"/>
      </w:pPr>
      <w:r>
        <w:t xml:space="preserve">Capacity Exchange utilise ces éléments pour déterminer la compatibilité.</w:t>
      </w:r>
    </w:p>
    <w:bookmarkStart w:id="36" w:name="séparation"/>
    <w:p>
      <w:pPr>
        <w:pStyle w:val="Heading3"/>
      </w:pPr>
      <w:r>
        <w:t xml:space="preserve">Séparation</w:t>
      </w:r>
    </w:p>
    <w:p>
      <w:pPr>
        <w:pStyle w:val="SourceCode"/>
      </w:pPr>
      <w:r>
        <w:rPr>
          <w:rStyle w:val="VerbatimChar"/>
        </w:rPr>
        <w:t xml:space="preserve">Location &amp; Journey</w:t>
      </w:r>
      <w:r>
        <w:br/>
      </w:r>
      <w:r>
        <w:rPr>
          <w:rStyle w:val="VerbatimChar"/>
        </w:rPr>
        <w:t xml:space="preserve">    = vérité spatiale</w:t>
      </w:r>
    </w:p>
    <w:p>
      <w:pPr>
        <w:pStyle w:val="SourceCode"/>
      </w:pPr>
      <w:r>
        <w:rPr>
          <w:rStyle w:val="VerbatimChar"/>
        </w:rPr>
        <w:t xml:space="preserve">Capacity Exchange</w:t>
      </w:r>
      <w:r>
        <w:br/>
      </w:r>
      <w:r>
        <w:rPr>
          <w:rStyle w:val="VerbatimChar"/>
        </w:rPr>
        <w:t xml:space="preserve">    = décision d'échange</w:t>
      </w:r>
    </w:p>
    <w:bookmarkEnd w:id="36"/>
    <w:bookmarkStart w:id="37" w:name="invariant-2"/>
    <w:p>
      <w:pPr>
        <w:pStyle w:val="Heading3"/>
      </w:pPr>
      <w:r>
        <w:t xml:space="preserve">Invariant</w:t>
      </w:r>
    </w:p>
    <w:p>
      <w:pPr>
        <w:pStyle w:val="SourceCode"/>
      </w:pPr>
      <w:r>
        <w:rPr>
          <w:rStyle w:val="VerbatimChar"/>
        </w:rPr>
        <w:t xml:space="preserve">Compatibilité ≠ Optimisation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apacity-exchange-execution-custody"/>
    <w:p>
      <w:pPr>
        <w:pStyle w:val="Heading1"/>
      </w:pPr>
      <w:r>
        <w:t xml:space="preserve">8. Capacity Exchange → Execution &amp; Custody</w:t>
      </w:r>
    </w:p>
    <w:p>
      <w:pPr>
        <w:pStyle w:val="FirstParagraph"/>
      </w:pPr>
      <w:r>
        <w:rPr>
          <w:b/>
          <w:bCs/>
        </w:rPr>
        <w:t xml:space="preserve">Relation : Customer/Supplier</w:t>
      </w:r>
    </w:p>
    <w:p>
      <w:pPr>
        <w:pStyle w:val="BodyText"/>
      </w:pPr>
      <w:r>
        <w:t xml:space="preserve">Capacity Exchange produit un engagement.</w:t>
      </w:r>
    </w:p>
    <w:p>
      <w:pPr>
        <w:pStyle w:val="BodyText"/>
      </w:pPr>
      <w:r>
        <w:t xml:space="preserve">Execution &amp; Custody transforme cet engagement en exécution physique.</w:t>
      </w:r>
    </w:p>
    <w:p>
      <w:pPr>
        <w:pStyle w:val="SourceCode"/>
      </w:pP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Exécution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Prise en charge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Garde</w:t>
      </w:r>
    </w:p>
    <w:bookmarkStart w:id="39" w:name="invariant-3"/>
    <w:p>
      <w:pPr>
        <w:pStyle w:val="Heading3"/>
      </w:pPr>
      <w:r>
        <w:t xml:space="preserve">Invariant</w:t>
      </w:r>
    </w:p>
    <w:p>
      <w:pPr>
        <w:pStyle w:val="SourceCode"/>
      </w:pPr>
      <w:r>
        <w:rPr>
          <w:rStyle w:val="VerbatimChar"/>
        </w:rPr>
        <w:t xml:space="preserve">Engagement ≠ Prise en charge</w:t>
      </w:r>
    </w:p>
    <w:p>
      <w:pPr>
        <w:pStyle w:val="FirstParagraph"/>
      </w:pPr>
      <w:r>
        <w:t xml:space="preserve">Capacity Exchange ne peut jamais déclarer à lui seul que le colis est physiquement sous la garde d’un acteur.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xecution-custody-trust-evidence"/>
    <w:p>
      <w:pPr>
        <w:pStyle w:val="Heading1"/>
      </w:pPr>
      <w:r>
        <w:t xml:space="preserve">9. Execution &amp; Custody → Trust &amp; Evidence</w:t>
      </w:r>
    </w:p>
    <w:p>
      <w:pPr>
        <w:pStyle w:val="FirstParagraph"/>
      </w:pPr>
      <w:r>
        <w:rPr>
          <w:b/>
          <w:bCs/>
        </w:rPr>
        <w:t xml:space="preserve">Relation : Customer/Supplier</w:t>
      </w:r>
    </w:p>
    <w:p>
      <w:pPr>
        <w:pStyle w:val="BodyText"/>
      </w:pPr>
      <w:r>
        <w:t xml:space="preserve">Execution &amp; Custody produit les faits opérationnels :</w:t>
      </w:r>
    </w:p>
    <w:p>
      <w:pPr>
        <w:pStyle w:val="Compact"/>
        <w:numPr>
          <w:ilvl w:val="0"/>
          <w:numId w:val="1008"/>
        </w:numPr>
      </w:pPr>
      <w:r>
        <w:t xml:space="preserve">prise en charge ;</w:t>
      </w:r>
    </w:p>
    <w:p>
      <w:pPr>
        <w:pStyle w:val="Compact"/>
        <w:numPr>
          <w:ilvl w:val="0"/>
          <w:numId w:val="1008"/>
        </w:numPr>
      </w:pPr>
      <w:r>
        <w:t xml:space="preserve">transfert ;</w:t>
      </w:r>
    </w:p>
    <w:p>
      <w:pPr>
        <w:pStyle w:val="Compact"/>
        <w:numPr>
          <w:ilvl w:val="0"/>
          <w:numId w:val="1008"/>
        </w:numPr>
      </w:pPr>
      <w:r>
        <w:t xml:space="preserve">remise ;</w:t>
      </w:r>
    </w:p>
    <w:p>
      <w:pPr>
        <w:pStyle w:val="Compact"/>
        <w:numPr>
          <w:ilvl w:val="0"/>
          <w:numId w:val="1008"/>
        </w:numPr>
      </w:pPr>
      <w:r>
        <w:t xml:space="preserve">anomalie ;</w:t>
      </w:r>
    </w:p>
    <w:p>
      <w:pPr>
        <w:pStyle w:val="Compact"/>
        <w:numPr>
          <w:ilvl w:val="0"/>
          <w:numId w:val="1008"/>
        </w:numPr>
      </w:pPr>
      <w:r>
        <w:t xml:space="preserve">événement de garde.</w:t>
      </w:r>
    </w:p>
    <w:p>
      <w:pPr>
        <w:pStyle w:val="FirstParagraph"/>
      </w:pPr>
      <w:r>
        <w:t xml:space="preserve">Trust &amp; Evidence produit leur représentation vérifiable.</w:t>
      </w:r>
    </w:p>
    <w:bookmarkStart w:id="41" w:name="principe"/>
    <w:p>
      <w:pPr>
        <w:pStyle w:val="Heading3"/>
      </w:pPr>
      <w:r>
        <w:t xml:space="preserve">Principe</w:t>
      </w:r>
    </w:p>
    <w:p>
      <w:pPr>
        <w:pStyle w:val="BlockText"/>
      </w:pPr>
      <w:r>
        <w:t xml:space="preserve">Le contexte opérationnel produit le fait ; le contexte de preuve rend le fait vérifiable.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trust-evidence-capacity-exchange"/>
    <w:p>
      <w:pPr>
        <w:pStyle w:val="Heading1"/>
      </w:pPr>
      <w:r>
        <w:t xml:space="preserve">10. Trust &amp; Evidence → Capacity Exchange</w:t>
      </w:r>
    </w:p>
    <w:p>
      <w:pPr>
        <w:pStyle w:val="FirstParagraph"/>
      </w:pPr>
      <w:r>
        <w:rPr>
          <w:b/>
          <w:bCs/>
        </w:rPr>
        <w:t xml:space="preserve">Relation : Supplier</w:t>
      </w:r>
    </w:p>
    <w:p>
      <w:pPr>
        <w:pStyle w:val="BodyText"/>
      </w:pPr>
      <w:r>
        <w:t xml:space="preserve">Capacity Exchange peut consommer des signaux de confiance :</w:t>
      </w:r>
    </w:p>
    <w:p>
      <w:pPr>
        <w:pStyle w:val="Compact"/>
        <w:numPr>
          <w:ilvl w:val="0"/>
          <w:numId w:val="1009"/>
        </w:numPr>
      </w:pPr>
      <w:r>
        <w:t xml:space="preserve">identité vérifiée ;</w:t>
      </w:r>
    </w:p>
    <w:p>
      <w:pPr>
        <w:pStyle w:val="Compact"/>
        <w:numPr>
          <w:ilvl w:val="0"/>
          <w:numId w:val="1009"/>
        </w:numPr>
      </w:pPr>
      <w:r>
        <w:t xml:space="preserve">affiliation ;</w:t>
      </w:r>
    </w:p>
    <w:p>
      <w:pPr>
        <w:pStyle w:val="Compact"/>
        <w:numPr>
          <w:ilvl w:val="0"/>
          <w:numId w:val="1009"/>
        </w:numPr>
      </w:pPr>
      <w:r>
        <w:t xml:space="preserve">historique ;</w:t>
      </w:r>
    </w:p>
    <w:p>
      <w:pPr>
        <w:pStyle w:val="Compact"/>
        <w:numPr>
          <w:ilvl w:val="0"/>
          <w:numId w:val="1009"/>
        </w:numPr>
      </w:pPr>
      <w:r>
        <w:t xml:space="preserve">preuves d’exécution ;</w:t>
      </w:r>
    </w:p>
    <w:p>
      <w:pPr>
        <w:pStyle w:val="Compact"/>
        <w:numPr>
          <w:ilvl w:val="0"/>
          <w:numId w:val="1009"/>
        </w:numPr>
      </w:pPr>
      <w:r>
        <w:t xml:space="preserve">incidents pertinents ;</w:t>
      </w:r>
    </w:p>
    <w:p>
      <w:pPr>
        <w:pStyle w:val="Compact"/>
        <w:numPr>
          <w:ilvl w:val="0"/>
          <w:numId w:val="1009"/>
        </w:numPr>
      </w:pPr>
      <w:r>
        <w:t xml:space="preserve">relations antérieures.</w:t>
      </w:r>
    </w:p>
    <w:p>
      <w:pPr>
        <w:pStyle w:val="FirstParagraph"/>
      </w:pPr>
      <w:r>
        <w:t xml:space="preserve">Mais Trust &amp; Evidence ne décide pas de l’engagement.</w:t>
      </w:r>
    </w:p>
    <w:bookmarkStart w:id="43" w:name="invariant-4"/>
    <w:p>
      <w:pPr>
        <w:pStyle w:val="Heading3"/>
      </w:pPr>
      <w:r>
        <w:t xml:space="preserve">Invariant</w:t>
      </w:r>
    </w:p>
    <w:p>
      <w:pPr>
        <w:pStyle w:val="FirstParagraph"/>
      </w:pPr>
      <w:r>
        <w:t xml:space="preserve">Un signal de confiance influence une décision ; il ne constitue pas à lui seul la décision.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apacity-exchange-settlement-economics"/>
    <w:p>
      <w:pPr>
        <w:pStyle w:val="Heading1"/>
      </w:pPr>
      <w:r>
        <w:t xml:space="preserve">11. Capacity Exchange → Settlement &amp; Economics</w:t>
      </w:r>
    </w:p>
    <w:p>
      <w:pPr>
        <w:pStyle w:val="FirstParagraph"/>
      </w:pPr>
      <w:r>
        <w:rPr>
          <w:b/>
          <w:bCs/>
        </w:rPr>
        <w:t xml:space="preserve">Relation : Customer/Supplier</w:t>
      </w:r>
    </w:p>
    <w:p>
      <w:pPr>
        <w:pStyle w:val="BodyText"/>
      </w:pPr>
      <w:r>
        <w:t xml:space="preserve">Capacity Exchange produit les faits nécessaires au règlement :</w:t>
      </w:r>
    </w:p>
    <w:p>
      <w:pPr>
        <w:pStyle w:val="Compact"/>
        <w:numPr>
          <w:ilvl w:val="0"/>
          <w:numId w:val="1010"/>
        </w:numPr>
      </w:pPr>
      <w:r>
        <w:t xml:space="preserve">engagement ;</w:t>
      </w:r>
    </w:p>
    <w:p>
      <w:pPr>
        <w:pStyle w:val="Compact"/>
        <w:numPr>
          <w:ilvl w:val="0"/>
          <w:numId w:val="1010"/>
        </w:numPr>
      </w:pPr>
      <w:r>
        <w:t xml:space="preserve">exécution attendue ;</w:t>
      </w:r>
    </w:p>
    <w:p>
      <w:pPr>
        <w:pStyle w:val="Compact"/>
        <w:numPr>
          <w:ilvl w:val="0"/>
          <w:numId w:val="1010"/>
        </w:numPr>
      </w:pPr>
      <w:r>
        <w:t xml:space="preserve">acteur engagé ;</w:t>
      </w:r>
    </w:p>
    <w:p>
      <w:pPr>
        <w:pStyle w:val="Compact"/>
        <w:numPr>
          <w:ilvl w:val="0"/>
          <w:numId w:val="1010"/>
        </w:numPr>
      </w:pPr>
      <w:r>
        <w:t xml:space="preserve">éventuelle délégation ;</w:t>
      </w:r>
    </w:p>
    <w:p>
      <w:pPr>
        <w:pStyle w:val="Compact"/>
        <w:numPr>
          <w:ilvl w:val="0"/>
          <w:numId w:val="1010"/>
        </w:numPr>
      </w:pPr>
      <w:r>
        <w:t xml:space="preserve">résultat opérationnel.</w:t>
      </w:r>
    </w:p>
    <w:p>
      <w:pPr>
        <w:pStyle w:val="FirstParagraph"/>
      </w:pPr>
      <w:r>
        <w:t xml:space="preserve">Settlement &amp; Economics calcule et règle :</w:t>
      </w:r>
    </w:p>
    <w:p>
      <w:pPr>
        <w:pStyle w:val="Compact"/>
        <w:numPr>
          <w:ilvl w:val="0"/>
          <w:numId w:val="1011"/>
        </w:numPr>
      </w:pPr>
      <w:r>
        <w:t xml:space="preserve">rémunération ;</w:t>
      </w:r>
    </w:p>
    <w:p>
      <w:pPr>
        <w:pStyle w:val="Compact"/>
        <w:numPr>
          <w:ilvl w:val="0"/>
          <w:numId w:val="1011"/>
        </w:numPr>
      </w:pPr>
      <w:r>
        <w:t xml:space="preserve">frais ;</w:t>
      </w:r>
    </w:p>
    <w:p>
      <w:pPr>
        <w:pStyle w:val="Compact"/>
        <w:numPr>
          <w:ilvl w:val="0"/>
          <w:numId w:val="1011"/>
        </w:numPr>
      </w:pPr>
      <w:r>
        <w:t xml:space="preserve">commissions ;</w:t>
      </w:r>
    </w:p>
    <w:p>
      <w:pPr>
        <w:pStyle w:val="Compact"/>
        <w:numPr>
          <w:ilvl w:val="0"/>
          <w:numId w:val="1011"/>
        </w:numPr>
      </w:pPr>
      <w:r>
        <w:t xml:space="preserve">partage éventuel ;</w:t>
      </w:r>
    </w:p>
    <w:p>
      <w:pPr>
        <w:pStyle w:val="Compact"/>
        <w:numPr>
          <w:ilvl w:val="0"/>
          <w:numId w:val="1011"/>
        </w:numPr>
      </w:pPr>
      <w:r>
        <w:t xml:space="preserve">solde.</w:t>
      </w:r>
    </w:p>
    <w:bookmarkStart w:id="45" w:name="séparation-1"/>
    <w:p>
      <w:pPr>
        <w:pStyle w:val="Heading3"/>
      </w:pPr>
      <w:r>
        <w:t xml:space="preserve">Séparation</w:t>
      </w:r>
    </w:p>
    <w:p>
      <w:pPr>
        <w:pStyle w:val="SourceCode"/>
      </w:pPr>
      <w:r>
        <w:rPr>
          <w:rStyle w:val="VerbatimChar"/>
        </w:rPr>
        <w:t xml:space="preserve">Capacity Exchange</w:t>
      </w:r>
      <w:r>
        <w:br/>
      </w:r>
      <w:r>
        <w:rPr>
          <w:rStyle w:val="VerbatimChar"/>
        </w:rPr>
        <w:t xml:space="preserve">    = qui s'engage pour quoi ?</w:t>
      </w:r>
      <w:r>
        <w:br/>
      </w:r>
      <w:r>
        <w:br/>
      </w:r>
      <w:r>
        <w:rPr>
          <w:rStyle w:val="VerbatimChar"/>
        </w:rPr>
        <w:t xml:space="preserve">Settlement &amp; Economics</w:t>
      </w:r>
      <w:r>
        <w:br/>
      </w:r>
      <w:r>
        <w:rPr>
          <w:rStyle w:val="VerbatimChar"/>
        </w:rPr>
        <w:t xml:space="preserve">    = quelle valeur économique découle de cet engagement 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ission-ouverte-flux-de-référence"/>
    <w:p>
      <w:pPr>
        <w:pStyle w:val="Heading1"/>
      </w:pPr>
      <w:r>
        <w:t xml:space="preserve">12. Mission ouverte — flux de référence</w:t>
      </w:r>
    </w:p>
    <w:p>
      <w:pPr>
        <w:pStyle w:val="FirstParagraph"/>
      </w:pPr>
      <w:r>
        <w:t xml:space="preserve">C’est le scénario central ajouté à la carte.</w:t>
      </w:r>
    </w:p>
    <w:p>
      <w:pPr>
        <w:pStyle w:val="SourceCode"/>
      </w:pPr>
      <w:r>
        <w:rPr>
          <w:rStyle w:val="VerbatimChar"/>
        </w:rPr>
        <w:t xml:space="preserve">1. Mission créée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Mission complétée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Mission prête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Étape transformée en opportunité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Vérification des contraintes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Construction de l'ensemble des capacités éligibles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Application de la politique d'exposition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Exposition contrôlée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Propositions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Engagement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Exécution</w:t>
      </w:r>
    </w:p>
    <w:p>
      <w:pPr>
        <w:pStyle w:val="FirstParagraph"/>
      </w:pPr>
      <w:r>
        <w:t xml:space="preserve">Une mission ouverte n’est donc pas un simple objet visible par tout le monde.</w:t>
      </w:r>
    </w:p>
    <w:p>
      <w:pPr>
        <w:pStyle w:val="BodyText"/>
      </w:pPr>
      <w:r>
        <w:t xml:space="preserve">Elle devient une</w:t>
      </w:r>
      <w:r>
        <w:t xml:space="preserve"> </w:t>
      </w:r>
      <w:r>
        <w:rPr>
          <w:b/>
          <w:bCs/>
        </w:rPr>
        <w:t xml:space="preserve">opportunité d’exécution distribuée selon une politique d’exposition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politique-dexposition"/>
    <w:p>
      <w:pPr>
        <w:pStyle w:val="Heading1"/>
      </w:pPr>
      <w:r>
        <w:t xml:space="preserve">13. Politique d’exposition</w:t>
      </w:r>
    </w:p>
    <w:p>
      <w:pPr>
        <w:pStyle w:val="FirstParagraph"/>
      </w:pPr>
      <w:r>
        <w:t xml:space="preserve">La politique d’exposition est une responsabilité du Core Domain.</w:t>
      </w:r>
    </w:p>
    <w:p>
      <w:pPr>
        <w:pStyle w:val="BodyText"/>
      </w:pPr>
      <w:r>
        <w:t xml:space="preserve">Elle doit concilier :</w:t>
      </w:r>
    </w:p>
    <w:p>
      <w:pPr>
        <w:pStyle w:val="SourceCode"/>
      </w:pPr>
      <w:r>
        <w:rPr>
          <w:rStyle w:val="VerbatimChar"/>
        </w:rPr>
        <w:t xml:space="preserve">Efficacité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Compatibilité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Disponibilité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Confiance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Équité d'accès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Intégration des nouveaux entrants</w:t>
      </w:r>
    </w:p>
    <w:p>
      <w:pPr>
        <w:pStyle w:val="FirstParagraph"/>
      </w:pPr>
      <w:r>
        <w:t xml:space="preserve">Elle ne doit pas être réduite à un classement unique.</w:t>
      </w:r>
    </w:p>
    <w:p>
      <w:r>
        <w:pict>
          <v:rect style="width:0;height:1.5pt" o:hralign="center" o:hrstd="t" o:hr="t"/>
        </w:pict>
      </w:r>
    </w:p>
    <w:bookmarkEnd w:id="48"/>
    <w:bookmarkStart w:id="49" w:name="modèle-dexposition-progressive"/>
    <w:p>
      <w:pPr>
        <w:pStyle w:val="Heading1"/>
      </w:pPr>
      <w:r>
        <w:t xml:space="preserve">14. Modèle d’exposition progressive</w:t>
      </w:r>
    </w:p>
    <w:p>
      <w:pPr>
        <w:pStyle w:val="FirstParagraph"/>
      </w:pPr>
      <w:r>
        <w:t xml:space="preserve">La stratégie retenue est :</w:t>
      </w:r>
    </w:p>
    <w:p>
      <w:pPr>
        <w:pStyle w:val="SourceCode"/>
      </w:pPr>
      <w:r>
        <w:rPr>
          <w:rStyle w:val="VerbatimChar"/>
        </w:rPr>
        <w:t xml:space="preserve">                    OPPORTUNITÉ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ENSEMBLE ÉLIGIBLE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Exposition initiale │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aucune prise</w:t>
      </w:r>
      <w:r>
        <w:br/>
      </w:r>
      <w:r>
        <w:rPr>
          <w:rStyle w:val="VerbatimChar"/>
        </w:rPr>
        <w:t xml:space="preserve">                  en charge ?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Exposition élargie │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toujours ouverte ?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Nouvelle politique  │</w:t>
      </w:r>
      <w:r>
        <w:br/>
      </w:r>
      <w:r>
        <w:rPr>
          <w:rStyle w:val="VerbatimChar"/>
        </w:rPr>
        <w:t xml:space="preserve">              │ / réévaluation      │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p>
      <w:pPr>
        <w:pStyle w:val="FirstParagraph"/>
      </w:pPr>
      <w:r>
        <w:t xml:space="preserve">L’objectif n’est pas de garantir une mission à chaque capacité.</w:t>
      </w:r>
    </w:p>
    <w:p>
      <w:pPr>
        <w:pStyle w:val="BodyText"/>
      </w:pPr>
      <w:r>
        <w:t xml:space="preserve">L’objectif est d’éviter qu’une capacité éligible soit structurellement invisible.</w:t>
      </w:r>
    </w:p>
    <w:p>
      <w:r>
        <w:pict>
          <v:rect style="width:0;height:1.5pt" o:hralign="center" o:hrstd="t" o:hr="t"/>
        </w:pict>
      </w:r>
    </w:p>
    <w:bookmarkEnd w:id="49"/>
    <w:bookmarkStart w:id="51" w:name="accès-équitable"/>
    <w:p>
      <w:pPr>
        <w:pStyle w:val="Heading1"/>
      </w:pPr>
      <w:r>
        <w:t xml:space="preserve">15. Accès équitable</w:t>
      </w:r>
    </w:p>
    <w:p>
      <w:pPr>
        <w:pStyle w:val="FirstParagraph"/>
      </w:pPr>
      <w:r>
        <w:t xml:space="preserve">L’équité est définie comme :</w:t>
      </w:r>
    </w:p>
    <w:p>
      <w:pPr>
        <w:pStyle w:val="BlockText"/>
      </w:pPr>
      <w:r>
        <w:t xml:space="preserve">absence de discrimination structurelle dans l’accès aux opportunités pertinentes, tout en conservant les contraintes opérationnelles et économiques nécessaires.</w:t>
      </w:r>
    </w:p>
    <w:bookmarkStart w:id="50" w:name="conséquence"/>
    <w:p>
      <w:pPr>
        <w:pStyle w:val="Heading3"/>
      </w:pPr>
      <w:r>
        <w:t xml:space="preserve">Conséquence</w:t>
      </w:r>
    </w:p>
    <w:p>
      <w:pPr>
        <w:pStyle w:val="FirstParagraph"/>
      </w:pPr>
      <w:r>
        <w:t xml:space="preserve">Un nouvel entrant :</w:t>
      </w:r>
    </w:p>
    <w:p>
      <w:pPr>
        <w:pStyle w:val="SourceCode"/>
      </w:pPr>
      <w:r>
        <w:rPr>
          <w:rStyle w:val="VerbatimChar"/>
        </w:rPr>
        <w:t xml:space="preserve">historique = faible ou nul</w:t>
      </w:r>
    </w:p>
    <w:p>
      <w:pPr>
        <w:pStyle w:val="FirstParagraph"/>
      </w:pPr>
      <w:r>
        <w:t xml:space="preserve">ne doit pas être automatiquement interprété comme :</w:t>
      </w:r>
    </w:p>
    <w:p>
      <w:pPr>
        <w:pStyle w:val="SourceCode"/>
      </w:pPr>
      <w:r>
        <w:rPr>
          <w:rStyle w:val="VerbatimChar"/>
        </w:rPr>
        <w:t xml:space="preserve">inéligible</w:t>
      </w:r>
    </w:p>
    <w:p>
      <w:pPr>
        <w:pStyle w:val="FirstParagraph"/>
      </w:pPr>
      <w:r>
        <w:t xml:space="preserve">Il peut entrer dans des mécanismes d’exposition appropriés pour construire son historique.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ld-start"/>
    <w:p>
      <w:pPr>
        <w:pStyle w:val="Heading1"/>
      </w:pPr>
      <w:r>
        <w:t xml:space="preserve">16. Cold Start</w:t>
      </w:r>
    </w:p>
    <w:p>
      <w:pPr>
        <w:pStyle w:val="FirstParagraph"/>
      </w:pPr>
      <w:r>
        <w:t xml:space="preserve">Le réseau doit résoudre le cycle :</w:t>
      </w:r>
    </w:p>
    <w:p>
      <w:pPr>
        <w:pStyle w:val="SourceCode"/>
      </w:pPr>
      <w:r>
        <w:rPr>
          <w:rStyle w:val="VerbatimChar"/>
        </w:rPr>
        <w:t xml:space="preserve">nouveau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aucun historique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aucune exposition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aucune mission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aucun historique</w:t>
      </w:r>
    </w:p>
    <w:p>
      <w:pPr>
        <w:pStyle w:val="FirstParagraph"/>
      </w:pPr>
      <w:r>
        <w:t xml:space="preserve">La politique doit donc permettre une</w:t>
      </w:r>
      <w:r>
        <w:t xml:space="preserve"> </w:t>
      </w:r>
      <w:r>
        <w:rPr>
          <w:b/>
          <w:bCs/>
        </w:rPr>
        <w:t xml:space="preserve">exposition initiale contrôlée</w:t>
      </w:r>
      <w:r>
        <w:t xml:space="preserve"> </w:t>
      </w:r>
      <w:r>
        <w:t xml:space="preserve">aux opportunités pertinentes.</w:t>
      </w:r>
    </w:p>
    <w:p>
      <w:pPr>
        <w:pStyle w:val="BodyText"/>
      </w:pPr>
      <w:r>
        <w:t xml:space="preserve">Cette exposition reste soumise à :</w:t>
      </w:r>
    </w:p>
    <w:p>
      <w:pPr>
        <w:pStyle w:val="Compact"/>
        <w:numPr>
          <w:ilvl w:val="0"/>
          <w:numId w:val="1012"/>
        </w:numPr>
      </w:pPr>
      <w:r>
        <w:t xml:space="preserve">identité ;</w:t>
      </w:r>
    </w:p>
    <w:p>
      <w:pPr>
        <w:pStyle w:val="Compact"/>
        <w:numPr>
          <w:ilvl w:val="0"/>
          <w:numId w:val="1012"/>
        </w:numPr>
      </w:pPr>
      <w:r>
        <w:t xml:space="preserve">capacité déclarée ;</w:t>
      </w:r>
    </w:p>
    <w:p>
      <w:pPr>
        <w:pStyle w:val="Compact"/>
        <w:numPr>
          <w:ilvl w:val="0"/>
          <w:numId w:val="1012"/>
        </w:numPr>
      </w:pPr>
      <w:r>
        <w:t xml:space="preserve">disponibilité ;</w:t>
      </w:r>
    </w:p>
    <w:p>
      <w:pPr>
        <w:pStyle w:val="Compact"/>
        <w:numPr>
          <w:ilvl w:val="0"/>
          <w:numId w:val="1012"/>
        </w:numPr>
      </w:pPr>
      <w:r>
        <w:t xml:space="preserve">contraintes ;</w:t>
      </w:r>
    </w:p>
    <w:p>
      <w:pPr>
        <w:pStyle w:val="Compact"/>
        <w:numPr>
          <w:ilvl w:val="0"/>
          <w:numId w:val="1012"/>
        </w:numPr>
      </w:pPr>
      <w:r>
        <w:t xml:space="preserve">zone ;</w:t>
      </w:r>
    </w:p>
    <w:p>
      <w:pPr>
        <w:pStyle w:val="Compact"/>
        <w:numPr>
          <w:ilvl w:val="0"/>
          <w:numId w:val="1012"/>
        </w:numPr>
      </w:pPr>
      <w:r>
        <w:t xml:space="preserve">exigences de l’opportunité ;</w:t>
      </w:r>
    </w:p>
    <w:p>
      <w:pPr>
        <w:pStyle w:val="Compact"/>
        <w:numPr>
          <w:ilvl w:val="0"/>
          <w:numId w:val="1012"/>
        </w:numPr>
      </w:pPr>
      <w:r>
        <w:t xml:space="preserve">règles de sécurité ;</w:t>
      </w:r>
    </w:p>
    <w:p>
      <w:pPr>
        <w:pStyle w:val="Compact"/>
        <w:numPr>
          <w:ilvl w:val="0"/>
          <w:numId w:val="1012"/>
        </w:numPr>
      </w:pPr>
      <w:r>
        <w:t xml:space="preserve">autres conditions d’éligibilité.</w:t>
      </w:r>
    </w:p>
    <w:p>
      <w:r>
        <w:pict>
          <v:rect style="width:0;height:1.5pt" o:hralign="center" o:hrstd="t" o:hr="t"/>
        </w:pict>
      </w:r>
    </w:p>
    <w:bookmarkEnd w:id="52"/>
    <w:bookmarkStart w:id="54" w:name="anti-starvation"/>
    <w:p>
      <w:pPr>
        <w:pStyle w:val="Heading1"/>
      </w:pPr>
      <w:r>
        <w:t xml:space="preserve">17. Anti-Starvation</w:t>
      </w:r>
    </w:p>
    <w:p>
      <w:pPr>
        <w:pStyle w:val="FirstParagraph"/>
      </w:pPr>
      <w:r>
        <w:t xml:space="preserve">Le système doit pouvoir détecter :</w:t>
      </w:r>
    </w:p>
    <w:p>
      <w:pPr>
        <w:pStyle w:val="SourceCode"/>
      </w:pPr>
      <w:r>
        <w:rPr>
          <w:rStyle w:val="VerbatimChar"/>
        </w:rPr>
        <w:t xml:space="preserve">Capacité active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Éligible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Disponible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Compatible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Opportunités pertinentes existantes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Exposition durablement nulle</w:t>
      </w:r>
    </w:p>
    <w:p>
      <w:pPr>
        <w:pStyle w:val="FirstParagraph"/>
      </w:pPr>
      <w:r>
        <w:t xml:space="preserve">Cette situation constitue un</w:t>
      </w:r>
      <w:r>
        <w:t xml:space="preserve"> </w:t>
      </w:r>
      <w:r>
        <w:rPr>
          <w:b/>
          <w:bCs/>
        </w:rPr>
        <w:t xml:space="preserve">signal de starvation</w:t>
      </w:r>
      <w:r>
        <w:t xml:space="preserve">.</w:t>
      </w:r>
    </w:p>
    <w:p>
      <w:pPr>
        <w:pStyle w:val="BodyText"/>
      </w:pPr>
      <w:r>
        <w:t xml:space="preserve">Le système peut alors réévaluer :</w:t>
      </w:r>
    </w:p>
    <w:p>
      <w:pPr>
        <w:pStyle w:val="Compact"/>
        <w:numPr>
          <w:ilvl w:val="0"/>
          <w:numId w:val="1013"/>
        </w:numPr>
      </w:pPr>
      <w:r>
        <w:t xml:space="preserve">la politique d’exposition ;</w:t>
      </w:r>
    </w:p>
    <w:p>
      <w:pPr>
        <w:pStyle w:val="Compact"/>
        <w:numPr>
          <w:ilvl w:val="0"/>
          <w:numId w:val="1013"/>
        </w:numPr>
      </w:pPr>
      <w:r>
        <w:t xml:space="preserve">l’ouverture ;</w:t>
      </w:r>
    </w:p>
    <w:p>
      <w:pPr>
        <w:pStyle w:val="Compact"/>
        <w:numPr>
          <w:ilvl w:val="0"/>
          <w:numId w:val="1013"/>
        </w:numPr>
      </w:pPr>
      <w:r>
        <w:t xml:space="preserve">le périmètre géographique ;</w:t>
      </w:r>
    </w:p>
    <w:p>
      <w:pPr>
        <w:pStyle w:val="Compact"/>
        <w:numPr>
          <w:ilvl w:val="0"/>
          <w:numId w:val="1013"/>
        </w:numPr>
      </w:pPr>
      <w:r>
        <w:t xml:space="preserve">les critères de compatibilité ;</w:t>
      </w:r>
    </w:p>
    <w:p>
      <w:pPr>
        <w:pStyle w:val="Compact"/>
        <w:numPr>
          <w:ilvl w:val="0"/>
          <w:numId w:val="1013"/>
        </w:numPr>
      </w:pPr>
      <w:r>
        <w:t xml:space="preserve">les contraintes déclarées ;</w:t>
      </w:r>
    </w:p>
    <w:p>
      <w:pPr>
        <w:pStyle w:val="Compact"/>
        <w:numPr>
          <w:ilvl w:val="0"/>
          <w:numId w:val="1013"/>
        </w:numPr>
      </w:pPr>
      <w:r>
        <w:t xml:space="preserve">la pertinence des opportunités.</w:t>
      </w:r>
    </w:p>
    <w:bookmarkStart w:id="53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Anti-Starvation n’est pas :</w:t>
      </w:r>
    </w:p>
    <w:p>
      <w:pPr>
        <w:pStyle w:val="BlockText"/>
      </w:pPr>
      <w:r>
        <w:t xml:space="preserve">garantie de revenu.</w:t>
      </w:r>
    </w:p>
    <w:p>
      <w:pPr>
        <w:pStyle w:val="FirstParagraph"/>
      </w:pPr>
      <w:r>
        <w:t xml:space="preserve">C’est :</w:t>
      </w:r>
    </w:p>
    <w:p>
      <w:pPr>
        <w:pStyle w:val="BlockText"/>
      </w:pPr>
      <w:r>
        <w:t xml:space="preserve">mécanisme de détection d’une exclusion structurelle potentielle.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mission-directement-adressée"/>
    <w:p>
      <w:pPr>
        <w:pStyle w:val="Heading1"/>
      </w:pPr>
      <w:r>
        <w:t xml:space="preserve">18. Mission directement adressée</w:t>
      </w:r>
    </w:p>
    <w:p>
      <w:pPr>
        <w:pStyle w:val="FirstParagraph"/>
      </w:pPr>
      <w:r>
        <w:t xml:space="preserve">Le cas direct reste distinct :</w:t>
      </w:r>
    </w:p>
    <w:p>
      <w:pPr>
        <w:pStyle w:val="SourceCode"/>
      </w:pPr>
      <w:r>
        <w:rPr>
          <w:rStyle w:val="VerbatimChar"/>
        </w:rPr>
        <w:t xml:space="preserve">Demandeur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Acteur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Acceptation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Exécution</w:t>
      </w:r>
    </w:p>
    <w:p>
      <w:pPr>
        <w:pStyle w:val="FirstParagraph"/>
      </w:pPr>
      <w:r>
        <w:t xml:space="preserve">Si A ne peut pas exécuter :</w:t>
      </w:r>
    </w:p>
    <w:p>
      <w:pPr>
        <w:pStyle w:val="SourceCode"/>
      </w:pPr>
      <w:r>
        <w:rPr>
          <w:rStyle w:val="VerbatimChar"/>
        </w:rPr>
        <w:t xml:space="preserve">Acteur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demande / déclenche délégation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Capacity Exchange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Acteur B</w:t>
      </w:r>
    </w:p>
    <w:p>
      <w:pPr>
        <w:pStyle w:val="FirstParagraph"/>
      </w:pPr>
      <w:r>
        <w:t xml:space="preserve">La délégation ne modifie pas automatiquement le titulaire initial.</w:t>
      </w:r>
    </w:p>
    <w:p>
      <w:r>
        <w:pict>
          <v:rect style="width:0;height:1.5pt" o:hralign="center" o:hrstd="t" o:hr="t"/>
        </w:pict>
      </w:r>
    </w:p>
    <w:bookmarkEnd w:id="55"/>
    <w:bookmarkStart w:id="57" w:name="ouverture-et-réouverture"/>
    <w:p>
      <w:pPr>
        <w:pStyle w:val="Heading1"/>
      </w:pPr>
      <w:r>
        <w:t xml:space="preserve">19. Ouverture et réouverture</w:t>
      </w:r>
    </w:p>
    <w:p>
      <w:pPr>
        <w:pStyle w:val="FirstParagraph"/>
      </w:pPr>
      <w:r>
        <w:t xml:space="preserve">Une opportunité peut suivre :</w:t>
      </w:r>
    </w:p>
    <w:p>
      <w:pPr>
        <w:pStyle w:val="SourceCode"/>
      </w:pPr>
      <w:r>
        <w:rPr>
          <w:rStyle w:val="VerbatimChar"/>
        </w:rPr>
        <w:t xml:space="preserve">ouverte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exposée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refus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réexposition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VerbatimChar"/>
        </w:rPr>
        <w:t xml:space="preserve">ouverte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engagement invalidé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réouverture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VerbatimChar"/>
        </w:rPr>
        <w:t xml:space="preserve">ouverte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prise en charge</w:t>
      </w:r>
    </w:p>
    <w:bookmarkStart w:id="56" w:name="invariant-5"/>
    <w:p>
      <w:pPr>
        <w:pStyle w:val="Heading3"/>
      </w:pPr>
      <w:r>
        <w:t xml:space="preserve">Invariant</w:t>
      </w:r>
    </w:p>
    <w:p>
      <w:pPr>
        <w:pStyle w:val="FirstParagraph"/>
      </w:pPr>
      <w:r>
        <w:t xml:space="preserve">Un refus ou une invalidation ne doit pas produire une disparition silencieuse de l’opportunité.</w:t>
      </w:r>
    </w:p>
    <w:p>
      <w:pPr>
        <w:pStyle w:val="BodyText"/>
      </w:pPr>
      <w:r>
        <w:t xml:space="preserve">La mission doit rester gouvernée par son propre cycle de vie.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lations-de-type-ddd"/>
    <w:p>
      <w:pPr>
        <w:pStyle w:val="Heading1"/>
      </w:pPr>
      <w:r>
        <w:t xml:space="preserve">20. Relations de type DDD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&amp;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&amp;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&amp;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&amp;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&amp;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&amp;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&amp;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&amp;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&amp;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&amp;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&amp;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4" w:name="ce-que-le-context-map-interdit"/>
    <w:p>
      <w:pPr>
        <w:pStyle w:val="Heading1"/>
      </w:pPr>
      <w:r>
        <w:t xml:space="preserve">21. Ce que le Context Map interdit</w:t>
      </w:r>
    </w:p>
    <w:p>
      <w:pPr>
        <w:pStyle w:val="FirstParagraph"/>
      </w:pPr>
      <w:r>
        <w:t xml:space="preserve">Le modèle impose plusieurs interdictions.</w:t>
      </w:r>
    </w:p>
    <w:bookmarkStart w:id="59" w:name="interdit-1"/>
    <w:p>
      <w:pPr>
        <w:pStyle w:val="Heading3"/>
      </w:pPr>
      <w:r>
        <w:t xml:space="preserve">Interdit 1</w:t>
      </w:r>
    </w:p>
    <w:p>
      <w:pPr>
        <w:pStyle w:val="FirstParagraph"/>
      </w:pPr>
      <w:r>
        <w:rPr>
          <w:rStyle w:val="VerbatimChar"/>
        </w:rPr>
        <w:t xml:space="preserve">Capacity Exchange</w:t>
      </w:r>
      <w:r>
        <w:t xml:space="preserve"> </w:t>
      </w:r>
      <w:r>
        <w:t xml:space="preserve">ne doit pas devenir un fourre-tout.</w:t>
      </w:r>
    </w:p>
    <w:p>
      <w:pPr>
        <w:pStyle w:val="BodyText"/>
      </w:pPr>
      <w:r>
        <w:t xml:space="preserve">Il ne possède pas :</w:t>
      </w:r>
    </w:p>
    <w:p>
      <w:pPr>
        <w:pStyle w:val="Compact"/>
        <w:numPr>
          <w:ilvl w:val="0"/>
          <w:numId w:val="1014"/>
        </w:numPr>
      </w:pPr>
      <w:r>
        <w:t xml:space="preserve">identité ;</w:t>
      </w:r>
    </w:p>
    <w:p>
      <w:pPr>
        <w:pStyle w:val="Compact"/>
        <w:numPr>
          <w:ilvl w:val="0"/>
          <w:numId w:val="1014"/>
        </w:numPr>
      </w:pPr>
      <w:r>
        <w:t xml:space="preserve">disponibilité brute ;</w:t>
      </w:r>
    </w:p>
    <w:p>
      <w:pPr>
        <w:pStyle w:val="Compact"/>
        <w:numPr>
          <w:ilvl w:val="0"/>
          <w:numId w:val="1014"/>
        </w:numPr>
      </w:pPr>
      <w:r>
        <w:t xml:space="preserve">garde ;</w:t>
      </w:r>
    </w:p>
    <w:p>
      <w:pPr>
        <w:pStyle w:val="Compact"/>
        <w:numPr>
          <w:ilvl w:val="0"/>
          <w:numId w:val="1014"/>
        </w:numPr>
      </w:pPr>
      <w:r>
        <w:t xml:space="preserve">localisation ;</w:t>
      </w:r>
    </w:p>
    <w:p>
      <w:pPr>
        <w:pStyle w:val="Compact"/>
        <w:numPr>
          <w:ilvl w:val="0"/>
          <w:numId w:val="1014"/>
        </w:numPr>
      </w:pPr>
      <w:r>
        <w:t xml:space="preserve">règlement.</w:t>
      </w:r>
    </w:p>
    <w:bookmarkEnd w:id="59"/>
    <w:bookmarkStart w:id="60" w:name="interdit-2"/>
    <w:p>
      <w:pPr>
        <w:pStyle w:val="Heading3"/>
      </w:pPr>
      <w:r>
        <w:t xml:space="preserve">Interdit 2</w:t>
      </w:r>
    </w:p>
    <w:p>
      <w:pPr>
        <w:pStyle w:val="FirstParagraph"/>
      </w:pPr>
      <w:r>
        <w:rPr>
          <w:rStyle w:val="VerbatimChar"/>
        </w:rPr>
        <w:t xml:space="preserve">Mission Orchestration</w:t>
      </w:r>
      <w:r>
        <w:t xml:space="preserve"> </w:t>
      </w:r>
      <w:r>
        <w:t xml:space="preserve">ne doit pas devenir un moteur de matching.</w:t>
      </w:r>
    </w:p>
    <w:bookmarkEnd w:id="60"/>
    <w:bookmarkStart w:id="61" w:name="interdit-3"/>
    <w:p>
      <w:pPr>
        <w:pStyle w:val="Heading3"/>
      </w:pPr>
      <w:r>
        <w:t xml:space="preserve">Interdit 3</w:t>
      </w:r>
    </w:p>
    <w:p>
      <w:pPr>
        <w:pStyle w:val="FirstParagraph"/>
      </w:pPr>
      <w:r>
        <w:rPr>
          <w:rStyle w:val="VerbatimChar"/>
        </w:rPr>
        <w:t xml:space="preserve">Trust &amp; Evidence</w:t>
      </w:r>
      <w:r>
        <w:t xml:space="preserve"> </w:t>
      </w:r>
      <w:r>
        <w:t xml:space="preserve">ne doit pas devenir un système de notation global opaque.</w:t>
      </w:r>
    </w:p>
    <w:bookmarkEnd w:id="61"/>
    <w:bookmarkStart w:id="62" w:name="interdit-4"/>
    <w:p>
      <w:pPr>
        <w:pStyle w:val="Heading3"/>
      </w:pPr>
      <w:r>
        <w:t xml:space="preserve">Interdit 4</w:t>
      </w:r>
    </w:p>
    <w:p>
      <w:pPr>
        <w:pStyle w:val="FirstParagraph"/>
      </w:pPr>
      <w:r>
        <w:rPr>
          <w:rStyle w:val="VerbatimChar"/>
        </w:rPr>
        <w:t xml:space="preserve">Location &amp; Journey</w:t>
      </w:r>
      <w:r>
        <w:t xml:space="preserve"> </w:t>
      </w:r>
      <w:r>
        <w:t xml:space="preserve">ne doit pas absorber prématurément l’optimisation complète.</w:t>
      </w:r>
    </w:p>
    <w:bookmarkEnd w:id="62"/>
    <w:bookmarkStart w:id="63" w:name="interdit-5"/>
    <w:p>
      <w:pPr>
        <w:pStyle w:val="Heading3"/>
      </w:pPr>
      <w:r>
        <w:t xml:space="preserve">Interdit 5</w:t>
      </w:r>
    </w:p>
    <w:p>
      <w:pPr>
        <w:pStyle w:val="FirstParagraph"/>
      </w:pPr>
      <w:r>
        <w:t xml:space="preserve">Aucun contexte ne doit accéder directement à la représentation interne d’un autre contexte comme si les deux partageaient un même modèle.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bilan-du-context-map"/>
    <w:p>
      <w:pPr>
        <w:pStyle w:val="Heading1"/>
      </w:pPr>
      <w:r>
        <w:t xml:space="preserve">22. Bilan du Context Map</w:t>
      </w:r>
    </w:p>
    <w:p>
      <w:pPr>
        <w:pStyle w:val="FirstParagraph"/>
      </w:pPr>
      <w:r>
        <w:t xml:space="preserve">Le modèle devient :</w:t>
      </w:r>
    </w:p>
    <w:p>
      <w:pPr>
        <w:pStyle w:val="SourceCode"/>
      </w:pPr>
      <w:r>
        <w:rPr>
          <w:rStyle w:val="VerbatimChar"/>
        </w:rPr>
        <w:t xml:space="preserve">                    IDENTITY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┌─────────┼─────────┐</w:t>
      </w:r>
      <w:r>
        <w:br/>
      </w:r>
      <w:r>
        <w:rPr>
          <w:rStyle w:val="VerbatimChar"/>
        </w:rPr>
        <w:t xml:space="preserve">             ▼         ▼         ▼</w:t>
      </w:r>
      <w:r>
        <w:br/>
      </w:r>
      <w:r>
        <w:rPr>
          <w:rStyle w:val="VerbatimChar"/>
        </w:rPr>
        <w:t xml:space="preserve">        CAPACITY     MISSION   CAPACITY</w:t>
      </w:r>
      <w:r>
        <w:br/>
      </w:r>
      <w:r>
        <w:rPr>
          <w:rStyle w:val="VerbatimChar"/>
        </w:rPr>
        <w:t xml:space="preserve">           │           │       EXCHANGE</w:t>
      </w:r>
      <w:r>
        <w:br/>
      </w:r>
      <w:r>
        <w:rPr>
          <w:rStyle w:val="VerbatimChar"/>
        </w:rPr>
        <w:t xml:space="preserve">           │           └─────────┤</w:t>
      </w:r>
      <w:r>
        <w:br/>
      </w:r>
      <w:r>
        <w:rPr>
          <w:rStyle w:val="VerbatimChar"/>
        </w:rPr>
        <w:t xml:space="preserve">           │                     │</w:t>
      </w:r>
      <w:r>
        <w:br/>
      </w:r>
      <w:r>
        <w:rPr>
          <w:rStyle w:val="VerbatimChar"/>
        </w:rPr>
        <w:t xml:space="preserve">           └─────────────────────┤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LOCATION ──┤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EXECUTION &amp; CUSTODY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TRUST &amp; EVIDENCE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SETTLEMENT &amp; ECONOMICS</w:t>
      </w:r>
    </w:p>
    <w:p>
      <w:pPr>
        <w:pStyle w:val="FirstParagraph"/>
      </w:pPr>
      <w:r>
        <w:t xml:space="preserve">Avec une règle centrale :</w:t>
      </w:r>
    </w:p>
    <w:p>
      <w:pPr>
        <w:pStyle w:val="BlockText"/>
      </w:pPr>
      <w:r>
        <w:rPr>
          <w:b/>
          <w:bCs/>
        </w:rPr>
        <w:t xml:space="preserve">Capacity Exchange est le centre décisionnel de l’échange de capacités, mais pas le propriétaire de toutes les données nécessaires à cet échange.</w:t>
      </w:r>
    </w:p>
    <w:p>
      <w:r>
        <w:pict>
          <v:rect style="width:0;height:1.5pt" o:hralign="center" o:hrstd="t" o:hr="t"/>
        </w:pict>
      </w:r>
    </w:p>
    <w:bookmarkEnd w:id="65"/>
    <w:bookmarkStart w:id="73" w:name="décisions-proposées-pour-le-registre"/>
    <w:p>
      <w:pPr>
        <w:pStyle w:val="Heading1"/>
      </w:pPr>
      <w:r>
        <w:t xml:space="preserve">23. Décisions proposées pour le registre</w:t>
      </w:r>
    </w:p>
    <w:bookmarkStart w:id="66" w:name="dec-ddd-01"/>
    <w:p>
      <w:pPr>
        <w:pStyle w:val="Heading3"/>
      </w:pPr>
      <w:r>
        <w:t xml:space="preserve">DEC-DDD-01</w:t>
      </w:r>
    </w:p>
    <w:p>
      <w:pPr>
        <w:pStyle w:val="FirstParagraph"/>
      </w:pPr>
      <w:r>
        <w:rPr>
          <w:rStyle w:val="VerbatimChar"/>
        </w:rPr>
        <w:t xml:space="preserve">Capacity Exchange</w:t>
      </w:r>
      <w:r>
        <w:t xml:space="preserve"> </w:t>
      </w:r>
      <w:r>
        <w:t xml:space="preserve">est confirmé comme</w:t>
      </w:r>
      <w:r>
        <w:t xml:space="preserve"> </w:t>
      </w:r>
      <w:r>
        <w:rPr>
          <w:b/>
          <w:bCs/>
        </w:rPr>
        <w:t xml:space="preserve">Core Domain candidat principal</w:t>
      </w:r>
      <w:r>
        <w:t xml:space="preserve">.</w:t>
      </w:r>
    </w:p>
    <w:bookmarkEnd w:id="66"/>
    <w:bookmarkStart w:id="67" w:name="dec-ddd-02"/>
    <w:p>
      <w:pPr>
        <w:pStyle w:val="Heading3"/>
      </w:pPr>
      <w:r>
        <w:t xml:space="preserve">DEC-DDD-02</w:t>
      </w:r>
    </w:p>
    <w:p>
      <w:pPr>
        <w:pStyle w:val="FirstParagraph"/>
      </w:pPr>
      <w:r>
        <w:t xml:space="preserve">Une mission ouverte est représentée comme une</w:t>
      </w:r>
      <w:r>
        <w:t xml:space="preserve"> </w:t>
      </w:r>
      <w:r>
        <w:rPr>
          <w:b/>
          <w:bCs/>
        </w:rPr>
        <w:t xml:space="preserve">opportunité d’exécution exposable</w:t>
      </w:r>
      <w:r>
        <w:t xml:space="preserve">, et non comme une mission simplement publiée à tous.</w:t>
      </w:r>
    </w:p>
    <w:bookmarkEnd w:id="67"/>
    <w:bookmarkStart w:id="68" w:name="dec-ddd-03"/>
    <w:p>
      <w:pPr>
        <w:pStyle w:val="Heading3"/>
      </w:pPr>
      <w:r>
        <w:t xml:space="preserve">DEC-DDD-03</w:t>
      </w:r>
    </w:p>
    <w:p>
      <w:pPr>
        <w:pStyle w:val="FirstParagraph"/>
      </w:pPr>
      <w:r>
        <w:t xml:space="preserve">L’exposition des opportunités doit intégrer une politique d’accès équitable.</w:t>
      </w:r>
    </w:p>
    <w:bookmarkEnd w:id="68"/>
    <w:bookmarkStart w:id="69" w:name="dec-ddd-04"/>
    <w:p>
      <w:pPr>
        <w:pStyle w:val="Heading3"/>
      </w:pPr>
      <w:r>
        <w:t xml:space="preserve">DEC-DDD-04</w:t>
      </w:r>
    </w:p>
    <w:p>
      <w:pPr>
        <w:pStyle w:val="FirstParagraph"/>
      </w:pPr>
      <w:r>
        <w:t xml:space="preserve">Le cold start des nouveaux entrants est une contrainte stratégique du réseau.</w:t>
      </w:r>
    </w:p>
    <w:bookmarkEnd w:id="69"/>
    <w:bookmarkStart w:id="70" w:name="dec-ddd-05"/>
    <w:p>
      <w:pPr>
        <w:pStyle w:val="Heading3"/>
      </w:pPr>
      <w:r>
        <w:t xml:space="preserve">DEC-DDD-05</w:t>
      </w:r>
    </w:p>
    <w:p>
      <w:pPr>
        <w:pStyle w:val="FirstParagraph"/>
      </w:pPr>
      <w:r>
        <w:t xml:space="preserve">Le système doit pouvoir détecter les situations de starvation opérationnelle.</w:t>
      </w:r>
    </w:p>
    <w:bookmarkEnd w:id="70"/>
    <w:bookmarkStart w:id="71" w:name="dec-ddd-06"/>
    <w:p>
      <w:pPr>
        <w:pStyle w:val="Heading3"/>
      </w:pPr>
      <w:r>
        <w:t xml:space="preserve">DEC-DDD-06</w:t>
      </w:r>
    </w:p>
    <w:p>
      <w:pPr>
        <w:pStyle w:val="FirstParagraph"/>
      </w:pPr>
      <w:r>
        <w:t xml:space="preserve">L’acceptation d’une proposition ne vaut jamais prise en charge physique.</w:t>
      </w:r>
    </w:p>
    <w:bookmarkEnd w:id="71"/>
    <w:bookmarkStart w:id="72" w:name="dec-ddd-07"/>
    <w:p>
      <w:pPr>
        <w:pStyle w:val="Heading3"/>
      </w:pPr>
      <w:r>
        <w:t xml:space="preserve">DEC-DDD-07</w:t>
      </w:r>
    </w:p>
    <w:p>
      <w:pPr>
        <w:pStyle w:val="FirstParagraph"/>
      </w:pPr>
      <w:r>
        <w:t xml:space="preserve">La délégation ne modifie pas automatiquement la titularité de la mission.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questions-encore-ouvertes"/>
    <w:p>
      <w:pPr>
        <w:pStyle w:val="Heading1"/>
      </w:pPr>
      <w:r>
        <w:t xml:space="preserve">24. Questions encore ouvertes</w:t>
      </w:r>
    </w:p>
    <w:p>
      <w:pPr>
        <w:pStyle w:val="FirstParagraph"/>
      </w:pPr>
      <w:r>
        <w:t xml:space="preserve">Le Context Map est suffisamment stable pour poursuivre, mais plusieurs politiques ne doivent pas encore être transformées en algorithmes :</w:t>
      </w:r>
    </w:p>
    <w:p>
      <w:pPr>
        <w:pStyle w:val="Compact"/>
        <w:numPr>
          <w:ilvl w:val="0"/>
          <w:numId w:val="1015"/>
        </w:numPr>
      </w:pPr>
      <w:r>
        <w:t xml:space="preserve">fréquence exacte de rotation des opportunités ;</w:t>
      </w:r>
    </w:p>
    <w:p>
      <w:pPr>
        <w:pStyle w:val="Compact"/>
        <w:numPr>
          <w:ilvl w:val="0"/>
          <w:numId w:val="1015"/>
        </w:numPr>
      </w:pPr>
      <w:r>
        <w:t xml:space="preserve">durée d’une fenêtre d’exposition ;</w:t>
      </w:r>
    </w:p>
    <w:p>
      <w:pPr>
        <w:pStyle w:val="Compact"/>
        <w:numPr>
          <w:ilvl w:val="0"/>
          <w:numId w:val="1015"/>
        </w:numPr>
      </w:pPr>
      <w:r>
        <w:t xml:space="preserve">poids relatif de l’équité et de l’efficacité ;</w:t>
      </w:r>
    </w:p>
    <w:p>
      <w:pPr>
        <w:pStyle w:val="Compact"/>
        <w:numPr>
          <w:ilvl w:val="0"/>
          <w:numId w:val="1015"/>
        </w:numPr>
      </w:pPr>
      <w:r>
        <w:t xml:space="preserve">règles précises de réouverture ;</w:t>
      </w:r>
    </w:p>
    <w:p>
      <w:pPr>
        <w:pStyle w:val="Compact"/>
        <w:numPr>
          <w:ilvl w:val="0"/>
          <w:numId w:val="1015"/>
        </w:numPr>
      </w:pPr>
      <w:r>
        <w:t xml:space="preserve">critères d’éligibilité par catégorie de capacité ;</w:t>
      </w:r>
    </w:p>
    <w:p>
      <w:pPr>
        <w:pStyle w:val="Compact"/>
        <w:numPr>
          <w:ilvl w:val="0"/>
          <w:numId w:val="1015"/>
        </w:numPr>
      </w:pPr>
      <w:r>
        <w:t xml:space="preserve">politique de limitation des propositions simultanées ;</w:t>
      </w:r>
    </w:p>
    <w:p>
      <w:pPr>
        <w:pStyle w:val="Compact"/>
        <w:numPr>
          <w:ilvl w:val="0"/>
          <w:numId w:val="1015"/>
        </w:numPr>
      </w:pPr>
      <w:r>
        <w:t xml:space="preserve">mécanismes précis de construction de la confiance.</w:t>
      </w:r>
    </w:p>
    <w:p>
      <w:pPr>
        <w:pStyle w:val="FirstParagraph"/>
      </w:pPr>
      <w:r>
        <w:t xml:space="preserve">Ces éléments relèvent désormais de la</w:t>
      </w:r>
      <w:r>
        <w:t xml:space="preserve"> </w:t>
      </w:r>
      <w:r>
        <w:rPr>
          <w:b/>
          <w:bCs/>
        </w:rPr>
        <w:t xml:space="preserve">politique métier détaillée</w:t>
      </w:r>
      <w:r>
        <w:t xml:space="preserve">, puis du DDD tactique et des expérimentations.</w:t>
      </w:r>
    </w:p>
    <w:p>
      <w:r>
        <w:pict>
          <v:rect style="width:0;height:1.5pt" o:hralign="center" o:hrstd="t" o:hr="t"/>
        </w:pict>
      </w:r>
    </w:p>
    <w:bookmarkEnd w:id="74"/>
    <w:bookmarkStart w:id="75" w:name="critère-de-sortie-du-context-map"/>
    <w:p>
      <w:pPr>
        <w:pStyle w:val="Heading1"/>
      </w:pPr>
      <w:r>
        <w:t xml:space="preserve">25. Critère de sortie du Context Map</w:t>
      </w:r>
    </w:p>
    <w:p>
      <w:pPr>
        <w:pStyle w:val="FirstParagraph"/>
      </w:pPr>
      <w:r>
        <w:t xml:space="preserve">Le Context Map est considéré comme suffisamment stable pour passer au niveau suivant lorsque :</w:t>
      </w:r>
    </w:p>
    <w:p>
      <w:pPr>
        <w:pStyle w:val="Compact"/>
        <w:numPr>
          <w:ilvl w:val="0"/>
          <w:numId w:val="1016"/>
        </w:numPr>
      </w:pPr>
      <w:r>
        <w:t xml:space="preserve">les responsabilités des huit contextes sont acceptées ;</w:t>
      </w:r>
    </w:p>
    <w:p>
      <w:pPr>
        <w:pStyle w:val="Compact"/>
        <w:numPr>
          <w:ilvl w:val="0"/>
          <w:numId w:val="1016"/>
        </w:numPr>
      </w:pPr>
      <w:r>
        <w:t xml:space="preserve">les relations entre contextes sont comprises ;</w:t>
      </w:r>
    </w:p>
    <w:p>
      <w:pPr>
        <w:pStyle w:val="Compact"/>
        <w:numPr>
          <w:ilvl w:val="0"/>
          <w:numId w:val="1016"/>
        </w:numPr>
      </w:pPr>
      <w:r>
        <w:t xml:space="preserve">Capacity Exchange est confirmé comme frontière du Core Domain ;</w:t>
      </w:r>
    </w:p>
    <w:p>
      <w:pPr>
        <w:pStyle w:val="Compact"/>
        <w:numPr>
          <w:ilvl w:val="0"/>
          <w:numId w:val="1016"/>
        </w:numPr>
      </w:pPr>
      <w:r>
        <w:t xml:space="preserve">le flux mission ouverte est cohérent ;</w:t>
      </w:r>
    </w:p>
    <w:p>
      <w:pPr>
        <w:pStyle w:val="Compact"/>
        <w:numPr>
          <w:ilvl w:val="0"/>
          <w:numId w:val="1016"/>
        </w:numPr>
      </w:pPr>
      <w:r>
        <w:t xml:space="preserve">les invariants d’exposition sont acceptés ;</w:t>
      </w:r>
    </w:p>
    <w:p>
      <w:pPr>
        <w:pStyle w:val="Compact"/>
        <w:numPr>
          <w:ilvl w:val="0"/>
          <w:numId w:val="1016"/>
        </w:numPr>
      </w:pPr>
      <w:r>
        <w:t xml:space="preserve">aucune frontière ne dépend d’une technologie particulière.</w:t>
      </w:r>
    </w:p>
    <w:p>
      <w:pPr>
        <w:pStyle w:val="FirstParagraph"/>
      </w:pPr>
      <w:r>
        <w:t xml:space="preserve">À ce stade, le projet pourra entrer dans la</w:t>
      </w:r>
      <w:r>
        <w:t xml:space="preserve"> </w:t>
      </w:r>
      <w:r>
        <w:rPr>
          <w:b/>
          <w:bCs/>
        </w:rPr>
        <w:t xml:space="preserve">formalisation finale du DDD stratégique</w:t>
      </w:r>
      <w:r>
        <w:t xml:space="preserve">, puis dans le</w:t>
      </w:r>
      <w:r>
        <w:t xml:space="preserve"> </w:t>
      </w:r>
      <w:r>
        <w:rPr>
          <w:b/>
          <w:bCs/>
        </w:rPr>
        <w:t xml:space="preserve">DDD tactique</w:t>
      </w:r>
      <w:r>
        <w:t xml:space="preserve">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2026-08-25T15:07:00Z</dcterms:created>
  <dcterms:modified xsi:type="dcterms:W3CDTF">2026-08-25T15:07:00Z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