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4"/>
        </w:rPr>
        <w:t>DOCUMENT FONDATEUR D’OUVERTURE</w:t>
      </w:r>
    </w:p>
    <w:p>
      <w:pPr>
        <w:jc w:val="center"/>
      </w:pPr>
      <w:r>
        <w:rPr>
          <w:b/>
          <w:color w:val="1F3751"/>
          <w:sz w:val="54"/>
        </w:rPr>
        <w:t>Écosystème estudiantin du Burkina Faso</w:t>
      </w:r>
    </w:p>
    <w:p>
      <w:pPr>
        <w:jc w:val="center"/>
      </w:pPr>
      <w:r>
        <w:rPr>
          <w:color w:val="333333"/>
          <w:sz w:val="30"/>
        </w:rPr>
        <w:t>Intention, monde à modéliser, possibilités et programme d’études</w:t>
      </w:r>
    </w:p>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F3751"/>
            <w:vAlign w:val="center"/>
          </w:tcPr>
          <w:p>
            <w:r/>
            <w:r>
              <w:rPr>
                <w:rFonts w:ascii="Aptos" w:hAnsi="Aptos"/>
                <w:b/>
                <w:color w:val="FFFFFF"/>
                <w:sz w:val="18"/>
              </w:rPr>
              <w:t>Élément</w:t>
            </w:r>
          </w:p>
        </w:tc>
        <w:tc>
          <w:tcPr>
            <w:tcW w:type="dxa" w:w="6912"/>
            <w:shd w:fill="1F3751"/>
            <w:vAlign w:val="center"/>
          </w:tcPr>
          <w:p>
            <w:r/>
            <w:r>
              <w:rPr>
                <w:rFonts w:ascii="Aptos" w:hAnsi="Aptos"/>
                <w:b/>
                <w:color w:val="FFFFFF"/>
                <w:sz w:val="18"/>
              </w:rPr>
              <w:t>Valeur</w:t>
            </w:r>
          </w:p>
        </w:tc>
      </w:tr>
      <w:tr>
        <w:trPr>
          <w:cantSplit/>
        </w:trPr>
        <w:tc>
          <w:tcPr>
            <w:tcW w:type="dxa" w:w="2880"/>
            <w:vAlign w:val="center"/>
          </w:tcPr>
          <w:p>
            <w:r/>
            <w:r>
              <w:rPr>
                <w:rFonts w:ascii="Aptos" w:hAnsi="Aptos"/>
                <w:b w:val="0"/>
                <w:color w:val="333333"/>
                <w:sz w:val="18"/>
              </w:rPr>
              <w:t>Statut</w:t>
            </w:r>
          </w:p>
        </w:tc>
        <w:tc>
          <w:tcPr>
            <w:tcW w:type="dxa" w:w="6912"/>
            <w:vAlign w:val="center"/>
          </w:tcPr>
          <w:p>
            <w:r/>
            <w:r>
              <w:rPr>
                <w:rFonts w:ascii="Aptos" w:hAnsi="Aptos"/>
                <w:b w:val="0"/>
                <w:color w:val="333333"/>
                <w:sz w:val="18"/>
              </w:rPr>
              <w:t>Document d’ouverture pour études approfondies — non normatif</w:t>
            </w:r>
          </w:p>
        </w:tc>
      </w:tr>
      <w:tr>
        <w:trPr>
          <w:cantSplit/>
        </w:trPr>
        <w:tc>
          <w:tcPr>
            <w:tcW w:type="dxa" w:w="2880"/>
            <w:vAlign w:val="center"/>
          </w:tcPr>
          <w:p>
            <w:r/>
            <w:r>
              <w:rPr>
                <w:rFonts w:ascii="Aptos" w:hAnsi="Aptos"/>
                <w:b w:val="0"/>
                <w:color w:val="333333"/>
                <w:sz w:val="18"/>
              </w:rPr>
              <w:t>Version</w:t>
            </w:r>
          </w:p>
        </w:tc>
        <w:tc>
          <w:tcPr>
            <w:tcW w:type="dxa" w:w="6912"/>
            <w:vAlign w:val="center"/>
          </w:tcPr>
          <w:p>
            <w:r/>
            <w:r>
              <w:rPr>
                <w:rFonts w:ascii="Aptos" w:hAnsi="Aptos"/>
                <w:b w:val="0"/>
                <w:color w:val="333333"/>
                <w:sz w:val="18"/>
              </w:rPr>
              <w:t>0.1</w:t>
            </w:r>
          </w:p>
        </w:tc>
      </w:tr>
      <w:tr>
        <w:trPr>
          <w:cantSplit/>
        </w:trPr>
        <w:tc>
          <w:tcPr>
            <w:tcW w:type="dxa" w:w="2880"/>
            <w:vAlign w:val="center"/>
          </w:tcPr>
          <w:p>
            <w:r/>
            <w:r>
              <w:rPr>
                <w:rFonts w:ascii="Aptos" w:hAnsi="Aptos"/>
                <w:b w:val="0"/>
                <w:color w:val="333333"/>
                <w:sz w:val="18"/>
              </w:rPr>
              <w:t>Territoire de conception initial</w:t>
            </w:r>
          </w:p>
        </w:tc>
        <w:tc>
          <w:tcPr>
            <w:tcW w:type="dxa" w:w="6912"/>
            <w:vAlign w:val="center"/>
          </w:tcPr>
          <w:p>
            <w:r/>
            <w:r>
              <w:rPr>
                <w:rFonts w:ascii="Aptos" w:hAnsi="Aptos"/>
                <w:b w:val="0"/>
                <w:color w:val="333333"/>
                <w:sz w:val="18"/>
              </w:rPr>
              <w:t>Burkina Faso</w:t>
            </w:r>
          </w:p>
        </w:tc>
      </w:tr>
      <w:tr>
        <w:trPr>
          <w:cantSplit/>
        </w:trPr>
        <w:tc>
          <w:tcPr>
            <w:tcW w:type="dxa" w:w="2880"/>
            <w:vAlign w:val="center"/>
          </w:tcPr>
          <w:p>
            <w:r/>
            <w:r>
              <w:rPr>
                <w:rFonts w:ascii="Aptos" w:hAnsi="Aptos"/>
                <w:b w:val="0"/>
                <w:color w:val="333333"/>
                <w:sz w:val="18"/>
              </w:rPr>
              <w:t>Publics envisagés</w:t>
            </w:r>
          </w:p>
        </w:tc>
        <w:tc>
          <w:tcPr>
            <w:tcW w:type="dxa" w:w="6912"/>
            <w:vAlign w:val="center"/>
          </w:tcPr>
          <w:p>
            <w:r/>
            <w:r>
              <w:rPr>
                <w:rFonts w:ascii="Aptos" w:hAnsi="Aptos"/>
                <w:b w:val="0"/>
                <w:color w:val="333333"/>
                <w:sz w:val="18"/>
              </w:rPr>
              <w:t>Lycéens, futurs étudiants, étudiants, anciens étudiants, communautés et acteurs des établissements</w:t>
            </w:r>
          </w:p>
        </w:tc>
      </w:tr>
      <w:tr>
        <w:trPr>
          <w:cantSplit/>
        </w:trPr>
        <w:tc>
          <w:tcPr>
            <w:tcW w:type="dxa" w:w="2880"/>
            <w:vAlign w:val="center"/>
          </w:tcPr>
          <w:p>
            <w:r/>
            <w:r>
              <w:rPr>
                <w:rFonts w:ascii="Aptos" w:hAnsi="Aptos"/>
                <w:b w:val="0"/>
                <w:color w:val="333333"/>
                <w:sz w:val="18"/>
              </w:rPr>
              <w:t>Nature</w:t>
            </w:r>
          </w:p>
        </w:tc>
        <w:tc>
          <w:tcPr>
            <w:tcW w:type="dxa" w:w="6912"/>
            <w:vAlign w:val="center"/>
          </w:tcPr>
          <w:p>
            <w:r/>
            <w:r>
              <w:rPr>
                <w:rFonts w:ascii="Aptos" w:hAnsi="Aptos"/>
                <w:b w:val="0"/>
                <w:color w:val="333333"/>
                <w:sz w:val="18"/>
              </w:rPr>
              <w:t>Document de vision, d’intention et de cartographie des possibilités</w:t>
            </w:r>
          </w:p>
        </w:tc>
      </w:tr>
      <w:tr>
        <w:trPr>
          <w:cantSplit/>
        </w:trPr>
        <w:tc>
          <w:tcPr>
            <w:tcW w:type="dxa" w:w="2880"/>
            <w:vAlign w:val="center"/>
          </w:tcPr>
          <w:p>
            <w:r/>
            <w:r>
              <w:rPr>
                <w:rFonts w:ascii="Aptos" w:hAnsi="Aptos"/>
                <w:b w:val="0"/>
                <w:color w:val="333333"/>
                <w:sz w:val="18"/>
              </w:rPr>
              <w:t>Ce que le document ne constitue pas</w:t>
            </w:r>
          </w:p>
        </w:tc>
        <w:tc>
          <w:tcPr>
            <w:tcW w:type="dxa" w:w="6912"/>
            <w:vAlign w:val="center"/>
          </w:tcPr>
          <w:p>
            <w:r/>
            <w:r>
              <w:rPr>
                <w:rFonts w:ascii="Aptos" w:hAnsi="Aptos"/>
                <w:b w:val="0"/>
                <w:color w:val="333333"/>
                <w:sz w:val="18"/>
              </w:rPr>
              <w:t>Ni cahier des charges, ni architecture définitive, ni décision de gouvernance, ni modèle économique arrêté</w:t>
            </w:r>
          </w:p>
        </w:tc>
      </w:tr>
      <w:tr>
        <w:trPr>
          <w:cantSplit/>
        </w:trPr>
        <w:tc>
          <w:tcPr>
            <w:tcW w:type="dxa" w:w="2880"/>
            <w:vAlign w:val="center"/>
          </w:tcPr>
          <w:p>
            <w:r/>
            <w:r>
              <w:rPr>
                <w:rFonts w:ascii="Aptos" w:hAnsi="Aptos"/>
                <w:b w:val="0"/>
                <w:color w:val="333333"/>
                <w:sz w:val="18"/>
              </w:rPr>
              <w:t>Doctrine de travail</w:t>
            </w:r>
          </w:p>
        </w:tc>
        <w:tc>
          <w:tcPr>
            <w:tcW w:type="dxa" w:w="6912"/>
            <w:vAlign w:val="center"/>
          </w:tcPr>
          <w:p>
            <w:r/>
            <w:r>
              <w:rPr>
                <w:rFonts w:ascii="Aptos" w:hAnsi="Aptos"/>
                <w:b w:val="0"/>
                <w:color w:val="333333"/>
                <w:sz w:val="18"/>
              </w:rPr>
              <w:t>Intention d’abord ; preuve ensuite ; étude stratégique avant conception</w:t>
            </w:r>
          </w:p>
        </w:tc>
      </w:tr>
    </w:tbl>
    <w:p/>
    <w:p>
      <w:pPr>
        <w:pStyle w:val="QuoteBlock"/>
      </w:pPr>
      <w:r>
        <w:t>Objet central : préserver l’ouverture. Ce document cherche à dire « voici le monde que nous voulons étudier et pouvoir construire », sans figer prématurément comment il devra être construit.</w:t>
      </w:r>
    </w:p>
    <w:p>
      <w:r/>
      <w:r>
        <w:br w:type="page"/>
      </w:r>
    </w:p>
    <w:p>
      <w:pPr>
        <w:pStyle w:val="Heading1"/>
      </w:pPr>
      <w:r>
        <w:t>Sommaire directeur</w:t>
      </w:r>
    </w:p>
    <w:p>
      <w:pPr>
        <w:pStyle w:val="ListBullet"/>
        <w:spacing w:after="20"/>
      </w:pPr>
      <w:r>
        <w:rPr>
          <w:sz w:val="19"/>
        </w:rPr>
        <w:t>1. Objet, statut et principe de lecture</w:t>
      </w:r>
    </w:p>
    <w:p>
      <w:pPr>
        <w:pStyle w:val="ListBullet"/>
        <w:spacing w:after="20"/>
      </w:pPr>
      <w:r>
        <w:rPr>
          <w:sz w:val="19"/>
        </w:rPr>
        <w:t>2. Intention fondatrice</w:t>
      </w:r>
    </w:p>
    <w:p>
      <w:pPr>
        <w:pStyle w:val="ListBullet"/>
        <w:spacing w:after="20"/>
      </w:pPr>
      <w:r>
        <w:rPr>
          <w:sz w:val="19"/>
        </w:rPr>
        <w:t>3. Monde numérique envisagé</w:t>
      </w:r>
    </w:p>
    <w:p>
      <w:pPr>
        <w:pStyle w:val="ListBullet"/>
        <w:spacing w:after="20"/>
      </w:pPr>
      <w:r>
        <w:rPr>
          <w:sz w:val="19"/>
        </w:rPr>
        <w:t>4. Contexte de départ : les usages étudiants existants</w:t>
      </w:r>
    </w:p>
    <w:p>
      <w:pPr>
        <w:pStyle w:val="ListBullet"/>
        <w:spacing w:after="20"/>
      </w:pPr>
      <w:r>
        <w:rPr>
          <w:sz w:val="19"/>
        </w:rPr>
        <w:t>5. Ce que le projet cherche à formaliser</w:t>
      </w:r>
    </w:p>
    <w:p>
      <w:pPr>
        <w:pStyle w:val="ListBullet"/>
        <w:spacing w:after="20"/>
      </w:pPr>
      <w:r>
        <w:rPr>
          <w:sz w:val="19"/>
        </w:rPr>
        <w:t>6. Le nœud institutionnel : université, UFR, filière, promotion</w:t>
      </w:r>
    </w:p>
    <w:p>
      <w:pPr>
        <w:pStyle w:val="ListBullet"/>
        <w:spacing w:after="20"/>
      </w:pPr>
      <w:r>
        <w:rPr>
          <w:sz w:val="19"/>
        </w:rPr>
        <w:t>7. La vie quotidienne académique et la communication formelle</w:t>
      </w:r>
    </w:p>
    <w:p>
      <w:pPr>
        <w:pStyle w:val="ListBullet"/>
        <w:spacing w:after="20"/>
      </w:pPr>
      <w:r>
        <w:rPr>
          <w:sz w:val="19"/>
        </w:rPr>
        <w:t>8. Documents, ressources, persistance et déduplication</w:t>
      </w:r>
    </w:p>
    <w:p>
      <w:pPr>
        <w:pStyle w:val="ListBullet"/>
        <w:spacing w:after="20"/>
      </w:pPr>
      <w:r>
        <w:rPr>
          <w:sz w:val="19"/>
        </w:rPr>
        <w:t>9. Continuité temporelle et mémoire des promotions</w:t>
      </w:r>
    </w:p>
    <w:p>
      <w:pPr>
        <w:pStyle w:val="ListBullet"/>
        <w:spacing w:after="20"/>
      </w:pPr>
      <w:r>
        <w:rPr>
          <w:sz w:val="19"/>
        </w:rPr>
        <w:t>10. Lycéens, bacheliers, futurs étudiants et étudiants</w:t>
      </w:r>
    </w:p>
    <w:p>
      <w:pPr>
        <w:pStyle w:val="ListBullet"/>
        <w:spacing w:after="20"/>
      </w:pPr>
      <w:r>
        <w:rPr>
          <w:sz w:val="19"/>
        </w:rPr>
        <w:t>11. Réseau national de communautés et interconnexion des établissements</w:t>
      </w:r>
    </w:p>
    <w:p>
      <w:pPr>
        <w:pStyle w:val="ListBullet"/>
        <w:spacing w:after="20"/>
      </w:pPr>
      <w:r>
        <w:rPr>
          <w:sz w:val="19"/>
        </w:rPr>
        <w:t>12. Connaissance, apprentissage collectif et communautés disciplinaires</w:t>
      </w:r>
    </w:p>
    <w:p>
      <w:pPr>
        <w:pStyle w:val="ListBullet"/>
        <w:spacing w:after="20"/>
      </w:pPr>
      <w:r>
        <w:rPr>
          <w:sz w:val="19"/>
        </w:rPr>
        <w:t>13. Possibilités de modules ou mini-écosystèmes spécialisés</w:t>
      </w:r>
    </w:p>
    <w:p>
      <w:pPr>
        <w:pStyle w:val="ListBullet"/>
        <w:spacing w:after="20"/>
      </w:pPr>
      <w:r>
        <w:rPr>
          <w:sz w:val="19"/>
        </w:rPr>
        <w:t>14. Modèle conceptuel préliminaire du monde à représenter</w:t>
      </w:r>
    </w:p>
    <w:p>
      <w:pPr>
        <w:pStyle w:val="ListBullet"/>
        <w:spacing w:after="20"/>
      </w:pPr>
      <w:r>
        <w:rPr>
          <w:sz w:val="19"/>
        </w:rPr>
        <w:t>15. Produit attendu — formulation volontairement ouverte</w:t>
      </w:r>
    </w:p>
    <w:p>
      <w:pPr>
        <w:pStyle w:val="ListBullet"/>
        <w:spacing w:after="20"/>
      </w:pPr>
      <w:r>
        <w:rPr>
          <w:sz w:val="19"/>
        </w:rPr>
        <w:t>16. Frontières : ce que le projet n’est pas nécessairement</w:t>
      </w:r>
    </w:p>
    <w:p>
      <w:pPr>
        <w:pStyle w:val="ListBullet"/>
        <w:spacing w:after="20"/>
      </w:pPr>
      <w:r>
        <w:rPr>
          <w:sz w:val="19"/>
        </w:rPr>
        <w:t>17. Possibilités étudiées et variantes à conserver ouvertes</w:t>
      </w:r>
    </w:p>
    <w:p>
      <w:pPr>
        <w:pStyle w:val="ListBullet"/>
        <w:spacing w:after="20"/>
      </w:pPr>
      <w:r>
        <w:rPr>
          <w:sz w:val="19"/>
        </w:rPr>
        <w:t>18. Hypothèses de valeur et de rupture à instruire</w:t>
      </w:r>
    </w:p>
    <w:p>
      <w:pPr>
        <w:pStyle w:val="ListBullet"/>
        <w:spacing w:after="20"/>
      </w:pPr>
      <w:r>
        <w:rPr>
          <w:sz w:val="19"/>
        </w:rPr>
        <w:t>19. Principes Zero-to-One à examiner, sans conclusion</w:t>
      </w:r>
    </w:p>
    <w:p>
      <w:pPr>
        <w:pStyle w:val="ListBullet"/>
        <w:spacing w:after="20"/>
      </w:pPr>
      <w:r>
        <w:rPr>
          <w:sz w:val="19"/>
        </w:rPr>
        <w:t>20. Programme d’études approfondies</w:t>
      </w:r>
    </w:p>
    <w:p>
      <w:pPr>
        <w:pStyle w:val="ListBullet"/>
        <w:spacing w:after="20"/>
      </w:pPr>
      <w:r>
        <w:rPr>
          <w:sz w:val="19"/>
        </w:rPr>
        <w:t>21. Questions ouvertes à résoudre</w:t>
      </w:r>
    </w:p>
    <w:p>
      <w:pPr>
        <w:pStyle w:val="ListBullet"/>
        <w:spacing w:after="20"/>
      </w:pPr>
      <w:r>
        <w:rPr>
          <w:sz w:val="19"/>
        </w:rPr>
        <w:t>22. Ce qui demeure explicitement non décidé</w:t>
      </w:r>
    </w:p>
    <w:p>
      <w:pPr>
        <w:pStyle w:val="ListBullet"/>
        <w:spacing w:after="20"/>
      </w:pPr>
      <w:r>
        <w:rPr>
          <w:sz w:val="19"/>
        </w:rPr>
        <w:t>23. Conclusion d’ouverture</w:t>
      </w:r>
    </w:p>
    <w:p>
      <w:pPr>
        <w:pStyle w:val="ListBullet"/>
        <w:spacing w:after="20"/>
      </w:pPr>
      <w:r>
        <w:rPr>
          <w:sz w:val="19"/>
        </w:rPr>
        <w:t>Annexe A. Cartographies conceptuelles</w:t>
      </w:r>
    </w:p>
    <w:p>
      <w:pPr>
        <w:pStyle w:val="ListBullet"/>
        <w:spacing w:after="20"/>
      </w:pPr>
      <w:r>
        <w:rPr>
          <w:sz w:val="19"/>
        </w:rPr>
        <w:t>Annexe B. Lexique de travail provisoire</w:t>
      </w:r>
    </w:p>
    <w:p>
      <w:pPr>
        <w:pStyle w:val="ListBullet"/>
        <w:spacing w:after="20"/>
      </w:pPr>
      <w:r>
        <w:rPr>
          <w:sz w:val="19"/>
        </w:rPr>
        <w:t>Annexe C. Journal de formulation et précautions méthodologiques</w:t>
      </w:r>
    </w:p>
    <w:p>
      <w:r/>
    </w:p>
    <w:p>
      <w:pPr>
        <w:pStyle w:val="Heading1"/>
      </w:pPr>
      <w:r>
        <w:t>1. Objet, statut et principe de lecture</w:t>
      </w:r>
    </w:p>
    <w:p>
      <w:r>
        <w:t>Le présent document rassemble l’intention exprimée pour un projet d’écosystème numérique destiné aux étudiants du Burkina Faso, ainsi que les possibilités déjà envisagées dans les échanges. Il a pour fonction de conserver une représentation commune du problème et du monde que le projet cherche à modéliser, afin d’ouvrir une phase d’études plus approfondies.</w:t>
      </w:r>
    </w:p>
    <w:p>
      <w:r>
        <w:t>Il est volontairement conçu comme un document d’ouverture. Il ne transforme pas les idées évoquées en exigences obligatoires. Les éléments présentés comme possibilités, variantes ou hypothèses ne valent pas décision. Le document doit donc pouvoir évoluer sans que son rôle de mémoire initiale soit perdu.</w:t>
      </w:r>
    </w:p>
    <w:p>
      <w:r>
        <w:t>Cette posture suit la doctrine de travail utilisée sur les autres projets : l’intention précède les fonctionnalités ; la preuve intervient ensuite ; la stratégie, le cadrage et le découpage métier précèdent l’architecture. La doctrine distingue notamment faits, observations, hypothèses, possibilités et décisions, afin d’éviter de confondre ce qui est connu avec ce qui reste à démontrer.</w:t>
      </w:r>
    </w:p>
    <w:p>
      <w:pPr>
        <w:pStyle w:val="Heading2"/>
      </w:pPr>
      <w:r>
        <w:t>1.1. Nature du document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Catégorie</w:t>
            </w:r>
          </w:p>
        </w:tc>
        <w:tc>
          <w:tcPr>
            <w:tcW w:type="dxa" w:w="4896"/>
            <w:shd w:fill="1F3751"/>
            <w:vAlign w:val="center"/>
          </w:tcPr>
          <w:p>
            <w:r/>
            <w:r>
              <w:rPr>
                <w:rFonts w:ascii="Aptos" w:hAnsi="Aptos"/>
                <w:b/>
                <w:color w:val="FFFFFF"/>
                <w:sz w:val="18"/>
              </w:rPr>
              <w:t>Traitement dans ce document</w:t>
            </w:r>
          </w:p>
        </w:tc>
      </w:tr>
      <w:tr>
        <w:trPr>
          <w:cantSplit/>
        </w:trPr>
        <w:tc>
          <w:tcPr>
            <w:tcW w:type="dxa" w:w="4896"/>
            <w:vAlign w:val="center"/>
          </w:tcPr>
          <w:p>
            <w:r/>
            <w:r>
              <w:rPr>
                <w:rFonts w:ascii="Aptos" w:hAnsi="Aptos"/>
                <w:b w:val="0"/>
                <w:color w:val="333333"/>
                <w:sz w:val="18"/>
              </w:rPr>
              <w:t>Intention</w:t>
            </w:r>
          </w:p>
        </w:tc>
        <w:tc>
          <w:tcPr>
            <w:tcW w:type="dxa" w:w="4896"/>
            <w:vAlign w:val="center"/>
          </w:tcPr>
          <w:p>
            <w:r/>
            <w:r>
              <w:rPr>
                <w:rFonts w:ascii="Aptos" w:hAnsi="Aptos"/>
                <w:b w:val="0"/>
                <w:color w:val="333333"/>
                <w:sz w:val="18"/>
              </w:rPr>
              <w:t>Décrite et conservée comme orientation fondatrice.</w:t>
            </w:r>
          </w:p>
        </w:tc>
      </w:tr>
      <w:tr>
        <w:trPr>
          <w:cantSplit/>
        </w:trPr>
        <w:tc>
          <w:tcPr>
            <w:tcW w:type="dxa" w:w="4896"/>
            <w:vAlign w:val="center"/>
          </w:tcPr>
          <w:p>
            <w:r/>
            <w:r>
              <w:rPr>
                <w:rFonts w:ascii="Aptos" w:hAnsi="Aptos"/>
                <w:b w:val="0"/>
                <w:color w:val="333333"/>
                <w:sz w:val="18"/>
              </w:rPr>
              <w:t>Observation</w:t>
            </w:r>
          </w:p>
        </w:tc>
        <w:tc>
          <w:tcPr>
            <w:tcW w:type="dxa" w:w="4896"/>
            <w:vAlign w:val="center"/>
          </w:tcPr>
          <w:p>
            <w:r/>
            <w:r>
              <w:rPr>
                <w:rFonts w:ascii="Aptos" w:hAnsi="Aptos"/>
                <w:b w:val="0"/>
                <w:color w:val="333333"/>
                <w:sz w:val="18"/>
              </w:rPr>
              <w:t>Rapportée comme constat de départ issu des usages décrits.</w:t>
            </w:r>
          </w:p>
        </w:tc>
      </w:tr>
      <w:tr>
        <w:trPr>
          <w:cantSplit/>
        </w:trPr>
        <w:tc>
          <w:tcPr>
            <w:tcW w:type="dxa" w:w="4896"/>
            <w:vAlign w:val="center"/>
          </w:tcPr>
          <w:p>
            <w:r/>
            <w:r>
              <w:rPr>
                <w:rFonts w:ascii="Aptos" w:hAnsi="Aptos"/>
                <w:b w:val="0"/>
                <w:color w:val="333333"/>
                <w:sz w:val="18"/>
              </w:rPr>
              <w:t>Hypothèse</w:t>
            </w:r>
          </w:p>
        </w:tc>
        <w:tc>
          <w:tcPr>
            <w:tcW w:type="dxa" w:w="4896"/>
            <w:vAlign w:val="center"/>
          </w:tcPr>
          <w:p>
            <w:r/>
            <w:r>
              <w:rPr>
                <w:rFonts w:ascii="Aptos" w:hAnsi="Aptos"/>
                <w:b w:val="0"/>
                <w:color w:val="333333"/>
                <w:sz w:val="18"/>
              </w:rPr>
              <w:t>Présentée comme proposition à tester.</w:t>
            </w:r>
          </w:p>
        </w:tc>
      </w:tr>
      <w:tr>
        <w:trPr>
          <w:cantSplit/>
        </w:trPr>
        <w:tc>
          <w:tcPr>
            <w:tcW w:type="dxa" w:w="4896"/>
            <w:vAlign w:val="center"/>
          </w:tcPr>
          <w:p>
            <w:r/>
            <w:r>
              <w:rPr>
                <w:rFonts w:ascii="Aptos" w:hAnsi="Aptos"/>
                <w:b w:val="0"/>
                <w:color w:val="333333"/>
                <w:sz w:val="18"/>
              </w:rPr>
              <w:t>Possibilité</w:t>
            </w:r>
          </w:p>
        </w:tc>
        <w:tc>
          <w:tcPr>
            <w:tcW w:type="dxa" w:w="4896"/>
            <w:vAlign w:val="center"/>
          </w:tcPr>
          <w:p>
            <w:r/>
            <w:r>
              <w:rPr>
                <w:rFonts w:ascii="Aptos" w:hAnsi="Aptos"/>
                <w:b w:val="0"/>
                <w:color w:val="333333"/>
                <w:sz w:val="18"/>
              </w:rPr>
              <w:t>Présentée comme trajectoire ou capacité envisageable.</w:t>
            </w:r>
          </w:p>
        </w:tc>
      </w:tr>
      <w:tr>
        <w:trPr>
          <w:cantSplit/>
        </w:trPr>
        <w:tc>
          <w:tcPr>
            <w:tcW w:type="dxa" w:w="4896"/>
            <w:vAlign w:val="center"/>
          </w:tcPr>
          <w:p>
            <w:r/>
            <w:r>
              <w:rPr>
                <w:rFonts w:ascii="Aptos" w:hAnsi="Aptos"/>
                <w:b w:val="0"/>
                <w:color w:val="333333"/>
                <w:sz w:val="18"/>
              </w:rPr>
              <w:t>Décision</w:t>
            </w:r>
          </w:p>
        </w:tc>
        <w:tc>
          <w:tcPr>
            <w:tcW w:type="dxa" w:w="4896"/>
            <w:vAlign w:val="center"/>
          </w:tcPr>
          <w:p>
            <w:r/>
            <w:r>
              <w:rPr>
                <w:rFonts w:ascii="Aptos" w:hAnsi="Aptos"/>
                <w:b w:val="0"/>
                <w:color w:val="333333"/>
                <w:sz w:val="18"/>
              </w:rPr>
              <w:t>Aucune décision produit, technique, économique ou institutionnelle n’est arrêtée ici.</w:t>
            </w:r>
          </w:p>
        </w:tc>
      </w:tr>
    </w:tbl>
    <w:p/>
    <w:p>
      <w:pPr>
        <w:pStyle w:val="Heading2"/>
      </w:pPr>
      <w:r>
        <w:t>1.2. Principe d’ouverture</w:t>
      </w:r>
    </w:p>
    <w:p>
      <w:r>
        <w:t>Le projet est considéré comme suffisamment vaste pour nécessiter des études sociales, académiques, institutionnelles, réglementaires, techniques, UX, documentaires et stratégiques. Le document ne cherche donc pas à gagner du temps en supprimant ces étapes : il cherche à les rendre possibles en donnant un cadre commun d’investigation.</w:t>
      </w:r>
    </w:p>
    <w:p>
      <w:pPr>
        <w:pStyle w:val="Heading1"/>
      </w:pPr>
      <w:r>
        <w:t>2. Intention fondatrice</w:t>
      </w:r>
    </w:p>
    <w:p>
      <w:r>
        <w:t>L’intention exprimée est de façonner, dessiner puis éventuellement mettre en place un écosystème numérique conçu spécifiquement pour les étudiants du Burkina Faso. Cet écosystème serait pensé comme un monde numérique étudiant : un espace dans lequel l’étudiant pourrait vivre une partie significative de sa vie académique, collective, documentaire et collaborative.</w:t>
      </w:r>
    </w:p>
    <w:p>
      <w:pPr>
        <w:pStyle w:val="QuoteBlock"/>
      </w:pPr>
      <w:r>
        <w:t>Intention formulée : permettre aux étudiants d’être dans « leur monde numérique » — un monde fait pour les étudiants, adapté au contexte étudiant burkinabè, et capable de représenter la réalité des établissements et des communautés qui existent déjà.</w:t>
      </w:r>
    </w:p>
    <w:p>
      <w:r>
        <w:t>L’ambition n’est pas de contextualiser une ville, par exemple Ouagadougou, puis d’y placer les universités. L’idée est plutôt de contextualiser chaque université, grande école ou structure d’enseignement supérieur comme un contexte propre, avec son identité, ses UFR, ses filières, ses communautés, ses usages et ses relations, tout en les reliant à un point d’interconnexion commun.</w:t>
      </w:r>
    </w:p>
    <w:p>
      <w:pPr>
        <w:pStyle w:val="Heading2"/>
      </w:pPr>
      <w:r>
        <w:t>2.1. Ce que l’intention cherche à dépasser</w:t>
      </w:r>
    </w:p>
    <w:p>
      <w:r>
        <w:t>L’idée ne part pas de l’hypothèse qu’il faudrait simplement ajouter un réseau social de plus. Elle part de l’observation qu’une partie de la vie étudiante existe déjà numériquement, mais souvent dans des espaces qui ne modélisent pas explicitement les structures académiques, les rôles, les promotions, les documents, les programmes ou la mémoire institutionnelle.</w:t>
      </w:r>
    </w:p>
    <w:p>
      <w:pPr>
        <w:pStyle w:val="Heading1"/>
      </w:pPr>
      <w:r>
        <w:t>3. Monde numérique envisagé</w:t>
      </w:r>
    </w:p>
    <w:p>
      <w:r>
        <w:t>Le « monde » visé peut être compris comme un système composé de nœuds et de relations. Un établissement d’enseignement supérieur pourrait constituer un nœud ou un contexte ; chaque UFR ou filière pourrait devenir un sous-contexte ; une promotion pourrait constituer une instance temporelle ; des communautés disciplinaires pourraient traverser plusieurs établissements ; les documents et connaissances pourraient être reliés à plusieurs contextes sans être dupliqués inutilement.</w:t>
      </w:r>
    </w:p>
    <w:p>
      <w:pPr>
        <w:spacing w:before="80" w:after="140"/>
        <w:ind w:left="288" w:right="288"/>
      </w:pPr>
      <w:r>
        <w:rPr>
          <w:rFonts w:ascii="Consolas" w:hAnsi="Consolas"/>
          <w:color w:val="333333"/>
          <w:sz w:val="17"/>
        </w:rPr>
        <w:t xml:space="preserve">                         ÉCOSYSTÈME ESTUDIANTIN</w:t>
        <w:br/>
        <w:t xml:space="preserve">                                  │</w:t>
        <w:br/>
        <w:t xml:space="preserve">                ┌─────────────────┼─────────────────┐</w:t>
        <w:br/>
        <w:t xml:space="preserve">                │                 │                 │</w:t>
        <w:br/>
        <w:t xml:space="preserve">          Institution A     Institution B     Institution C</w:t>
        <w:br/>
        <w:t xml:space="preserve">                │                 │                 │</w:t>
        <w:br/>
        <w:t xml:space="preserve">             UFR /            UFR /            UFR /</w:t>
        <w:br/>
        <w:t xml:space="preserve">            Filières         Filières         Filières</w:t>
        <w:br/>
        <w:t xml:space="preserve">                │                 │                 │</w:t>
        <w:br/>
        <w:t xml:space="preserve">            Promotions       Promotions       Promotions</w:t>
        <w:br/>
        <w:t xml:space="preserve">                │                 │                 │</w:t>
        <w:br/>
        <w:t xml:space="preserve">                └──────────┬──────┴──────┬─────────┘</w:t>
        <w:br/>
        <w:t xml:space="preserve">                           │             │</w:t>
        <w:br/>
        <w:t xml:space="preserve">                    Communautés    Connaissances</w:t>
        <w:br/>
        <w:t xml:space="preserve">                           │             │</w:t>
        <w:br/>
        <w:t xml:space="preserve">                           └──────┬──────┘</w:t>
        <w:br/>
        <w:t xml:space="preserve">                                  │</w:t>
        <w:br/>
        <w:t xml:space="preserve">                              Étudiants</w:t>
      </w:r>
    </w:p>
    <w:p>
      <w:r>
        <w:t>Cette représentation est conceptuelle. Elle n’impose ni une architecture centralisée, ni une architecture fédérée, ni une technologie particulière. Elle matérialise uniquement l’idée de relations entre contextes locaux et réseau commun.</w:t>
      </w:r>
    </w:p>
    <w:p>
      <w:pPr>
        <w:pStyle w:val="Heading1"/>
      </w:pPr>
      <w:r>
        <w:t>4. Contexte de départ : les usages étudiants existants</w:t>
      </w:r>
    </w:p>
    <w:p>
      <w:r>
        <w:t>Le point de départ décrit dans les échanges est une pratique courante : une fois les étudiants inscrits dans une université, une grande école ou une filière, un groupe de discussion est souvent créé. Sa création peut être favorisée par l’administration, par l’établissement ou par les étudiants eux-mêmes. Dans beaucoup de cas, WhatsApp constitue l’outil utilisé au quotidien.</w:t>
      </w:r>
    </w:p>
    <w:p>
      <w:r>
        <w:t>Dans certains cas, une organisation de type communauté peut contenir plusieurs groupes : un espace principalement consacré aux informations et un espace davantage consacré aux discussions quotidiennes, aux échanges de fichiers et aux interactions courantes. D’autres outils comme Discord pourraient techniquement représenter certains de ces usages, mais ils ne sont pas nécessairement utilisés dans le contexte observé.</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Usage observé</w:t>
            </w:r>
          </w:p>
        </w:tc>
        <w:tc>
          <w:tcPr>
            <w:tcW w:type="dxa" w:w="4896"/>
            <w:shd w:fill="1F3751"/>
            <w:vAlign w:val="center"/>
          </w:tcPr>
          <w:p>
            <w:r/>
            <w:r>
              <w:rPr>
                <w:rFonts w:ascii="Aptos" w:hAnsi="Aptos"/>
                <w:b/>
                <w:color w:val="FFFFFF"/>
                <w:sz w:val="18"/>
              </w:rPr>
              <w:t>Fonction assumée informellement</w:t>
            </w:r>
          </w:p>
        </w:tc>
      </w:tr>
      <w:tr>
        <w:trPr>
          <w:cantSplit/>
        </w:trPr>
        <w:tc>
          <w:tcPr>
            <w:tcW w:type="dxa" w:w="4896"/>
            <w:vAlign w:val="center"/>
          </w:tcPr>
          <w:p>
            <w:r/>
            <w:r>
              <w:rPr>
                <w:rFonts w:ascii="Aptos" w:hAnsi="Aptos"/>
                <w:b w:val="0"/>
                <w:color w:val="333333"/>
                <w:sz w:val="18"/>
              </w:rPr>
              <w:t>Groupe d’information</w:t>
            </w:r>
          </w:p>
        </w:tc>
        <w:tc>
          <w:tcPr>
            <w:tcW w:type="dxa" w:w="4896"/>
            <w:vAlign w:val="center"/>
          </w:tcPr>
          <w:p>
            <w:r/>
            <w:r>
              <w:rPr>
                <w:rFonts w:ascii="Aptos" w:hAnsi="Aptos"/>
                <w:b w:val="0"/>
                <w:color w:val="333333"/>
                <w:sz w:val="18"/>
              </w:rPr>
              <w:t>Diffusion d’informations académiques ou administratives.</w:t>
            </w:r>
          </w:p>
        </w:tc>
      </w:tr>
      <w:tr>
        <w:trPr>
          <w:cantSplit/>
        </w:trPr>
        <w:tc>
          <w:tcPr>
            <w:tcW w:type="dxa" w:w="4896"/>
            <w:vAlign w:val="center"/>
          </w:tcPr>
          <w:p>
            <w:r/>
            <w:r>
              <w:rPr>
                <w:rFonts w:ascii="Aptos" w:hAnsi="Aptos"/>
                <w:b w:val="0"/>
                <w:color w:val="333333"/>
                <w:sz w:val="18"/>
              </w:rPr>
              <w:t>Groupe de discussion</w:t>
            </w:r>
          </w:p>
        </w:tc>
        <w:tc>
          <w:tcPr>
            <w:tcW w:type="dxa" w:w="4896"/>
            <w:vAlign w:val="center"/>
          </w:tcPr>
          <w:p>
            <w:r/>
            <w:r>
              <w:rPr>
                <w:rFonts w:ascii="Aptos" w:hAnsi="Aptos"/>
                <w:b w:val="0"/>
                <w:color w:val="333333"/>
                <w:sz w:val="18"/>
              </w:rPr>
              <w:t>Questions, échanges quotidiens, coordination entre étudiants.</w:t>
            </w:r>
          </w:p>
        </w:tc>
      </w:tr>
      <w:tr>
        <w:trPr>
          <w:cantSplit/>
        </w:trPr>
        <w:tc>
          <w:tcPr>
            <w:tcW w:type="dxa" w:w="4896"/>
            <w:vAlign w:val="center"/>
          </w:tcPr>
          <w:p>
            <w:r/>
            <w:r>
              <w:rPr>
                <w:rFonts w:ascii="Aptos" w:hAnsi="Aptos"/>
                <w:b w:val="0"/>
                <w:color w:val="333333"/>
                <w:sz w:val="18"/>
              </w:rPr>
              <w:t>Partage de fichiers</w:t>
            </w:r>
          </w:p>
        </w:tc>
        <w:tc>
          <w:tcPr>
            <w:tcW w:type="dxa" w:w="4896"/>
            <w:vAlign w:val="center"/>
          </w:tcPr>
          <w:p>
            <w:r/>
            <w:r>
              <w:rPr>
                <w:rFonts w:ascii="Aptos" w:hAnsi="Aptos"/>
                <w:b w:val="0"/>
                <w:color w:val="333333"/>
                <w:sz w:val="18"/>
              </w:rPr>
              <w:t>Cours, exercices, corrections, documents administratifs, photographies.</w:t>
            </w:r>
          </w:p>
        </w:tc>
      </w:tr>
      <w:tr>
        <w:trPr>
          <w:cantSplit/>
        </w:trPr>
        <w:tc>
          <w:tcPr>
            <w:tcW w:type="dxa" w:w="4896"/>
            <w:vAlign w:val="center"/>
          </w:tcPr>
          <w:p>
            <w:r/>
            <w:r>
              <w:rPr>
                <w:rFonts w:ascii="Aptos" w:hAnsi="Aptos"/>
                <w:b w:val="0"/>
                <w:color w:val="333333"/>
                <w:sz w:val="18"/>
              </w:rPr>
              <w:t>Diffusion du programme</w:t>
            </w:r>
          </w:p>
        </w:tc>
        <w:tc>
          <w:tcPr>
            <w:tcW w:type="dxa" w:w="4896"/>
            <w:vAlign w:val="center"/>
          </w:tcPr>
          <w:p>
            <w:r/>
            <w:r>
              <w:rPr>
                <w:rFonts w:ascii="Aptos" w:hAnsi="Aptos"/>
                <w:b w:val="0"/>
                <w:color w:val="333333"/>
                <w:sz w:val="18"/>
              </w:rPr>
              <w:t>Programme de la semaine ou du mois, souvent modifiable.</w:t>
            </w:r>
          </w:p>
        </w:tc>
      </w:tr>
      <w:tr>
        <w:trPr>
          <w:cantSplit/>
        </w:trPr>
        <w:tc>
          <w:tcPr>
            <w:tcW w:type="dxa" w:w="4896"/>
            <w:vAlign w:val="center"/>
          </w:tcPr>
          <w:p>
            <w:r/>
            <w:r>
              <w:rPr>
                <w:rFonts w:ascii="Aptos" w:hAnsi="Aptos"/>
                <w:b w:val="0"/>
                <w:color w:val="333333"/>
                <w:sz w:val="18"/>
              </w:rPr>
              <w:t>Transmission par le délégué</w:t>
            </w:r>
          </w:p>
        </w:tc>
        <w:tc>
          <w:tcPr>
            <w:tcW w:type="dxa" w:w="4896"/>
            <w:vAlign w:val="center"/>
          </w:tcPr>
          <w:p>
            <w:r/>
            <w:r>
              <w:rPr>
                <w:rFonts w:ascii="Aptos" w:hAnsi="Aptos"/>
                <w:b w:val="0"/>
                <w:color w:val="333333"/>
                <w:sz w:val="18"/>
              </w:rPr>
              <w:t>Relais entre administration et étudiants.</w:t>
            </w:r>
          </w:p>
        </w:tc>
      </w:tr>
      <w:tr>
        <w:trPr>
          <w:cantSplit/>
        </w:trPr>
        <w:tc>
          <w:tcPr>
            <w:tcW w:type="dxa" w:w="4896"/>
            <w:vAlign w:val="center"/>
          </w:tcPr>
          <w:p>
            <w:r/>
            <w:r>
              <w:rPr>
                <w:rFonts w:ascii="Aptos" w:hAnsi="Aptos"/>
                <w:b w:val="0"/>
                <w:color w:val="333333"/>
                <w:sz w:val="18"/>
              </w:rPr>
              <w:t>Échange avec l’administration</w:t>
            </w:r>
          </w:p>
        </w:tc>
        <w:tc>
          <w:tcPr>
            <w:tcW w:type="dxa" w:w="4896"/>
            <w:vAlign w:val="center"/>
          </w:tcPr>
          <w:p>
            <w:r/>
            <w:r>
              <w:rPr>
                <w:rFonts w:ascii="Aptos" w:hAnsi="Aptos"/>
                <w:b w:val="0"/>
                <w:color w:val="333333"/>
                <w:sz w:val="18"/>
              </w:rPr>
              <w:t>Relation indirecte ou ponctuelle avec un directeur adjoint / responsable.</w:t>
            </w:r>
          </w:p>
        </w:tc>
      </w:tr>
      <w:tr>
        <w:trPr>
          <w:cantSplit/>
        </w:trPr>
        <w:tc>
          <w:tcPr>
            <w:tcW w:type="dxa" w:w="4896"/>
            <w:vAlign w:val="center"/>
          </w:tcPr>
          <w:p>
            <w:r/>
            <w:r>
              <w:rPr>
                <w:rFonts w:ascii="Aptos" w:hAnsi="Aptos"/>
                <w:b w:val="0"/>
                <w:color w:val="333333"/>
                <w:sz w:val="18"/>
              </w:rPr>
              <w:t>Mémoire collective</w:t>
            </w:r>
          </w:p>
        </w:tc>
        <w:tc>
          <w:tcPr>
            <w:tcW w:type="dxa" w:w="4896"/>
            <w:vAlign w:val="center"/>
          </w:tcPr>
          <w:p>
            <w:r/>
            <w:r>
              <w:rPr>
                <w:rFonts w:ascii="Aptos" w:hAnsi="Aptos"/>
                <w:b w:val="0"/>
                <w:color w:val="333333"/>
                <w:sz w:val="18"/>
              </w:rPr>
              <w:t>Accumulation de fichiers et d’informations dans l’historique du groupe.</w:t>
            </w:r>
          </w:p>
        </w:tc>
      </w:tr>
    </w:tbl>
    <w:p/>
    <w:p>
      <w:pPr>
        <w:pStyle w:val="Heading2"/>
      </w:pPr>
      <w:r>
        <w:t>4.1. Le problème ne réside pas dans l’absence d’usage numérique</w:t>
      </w:r>
    </w:p>
    <w:p>
      <w:r>
        <w:t>Le problème décrit est plutôt celui de la correspondance imparfaite entre la pratique et l’outil. Les groupes existent, les étudiants les utilisent, mais la structure académique réelle — établissement, UFR, filière, niveau, promotion, responsables, programmes, documents et continuité dans le temps — n’est pas nécessairement représentée comme telle.</w:t>
      </w:r>
    </w:p>
    <w:p>
      <w:pPr>
        <w:pStyle w:val="Heading1"/>
      </w:pPr>
      <w:r>
        <w:t>5. Ce que le projet cherche à formaliser</w:t>
      </w:r>
    </w:p>
    <w:p>
      <w:r>
        <w:t>Une orientation forte se dégage : ne pas seulement reproduire les groupes de messagerie, mais formaliser les entités et relations que ces groupes représentent implicitement.</w:t>
      </w:r>
    </w:p>
    <w:p>
      <w:pPr>
        <w:spacing w:before="80" w:after="140"/>
        <w:ind w:left="288" w:right="288"/>
      </w:pPr>
      <w:r>
        <w:rPr>
          <w:rFonts w:ascii="Consolas" w:hAnsi="Consolas"/>
          <w:color w:val="333333"/>
          <w:sz w:val="17"/>
        </w:rPr>
        <w:t>Aujourd’hui, de manière informelle :</w:t>
        <w:br/>
        <w:t>Université -&gt; UFR -&gt; Filière -&gt; Promotion -&gt; Groupe WhatsApp</w:t>
        <w:br/>
        <w:t xml:space="preserve">                              v</w:t>
        <w:br/>
        <w:t xml:space="preserve">                    informations / fichiers</w:t>
        <w:br/>
        <w:t xml:space="preserve">                    programme / discussions</w:t>
        <w:br/>
        <w:t xml:space="preserve">                    délégué / étudiants</w:t>
        <w:br/>
        <w:br/>
        <w:t>Possibilité à étudier :</w:t>
        <w:br/>
        <w:t>Université -&gt; UFR -&gt; Filière -&gt; Promotion -&gt; Cercle académique</w:t>
        <w:br/>
        <w:t xml:space="preserve">                                      v</w:t>
        <w:br/>
        <w:t xml:space="preserve">                    annonces / documents / programme</w:t>
        <w:br/>
        <w:t xml:space="preserve">                    discussions / rôles / historique</w:t>
      </w:r>
    </w:p>
    <w:p>
      <w:r>
        <w:t>Le vocabulaire de « cercle académique », utilisé ici comme formulation de travail, n’est pas un nom de produit arrêté. Il sert à distinguer une entité métier potentielle d’un simple groupe de messagerie.</w:t>
      </w:r>
    </w:p>
    <w:p>
      <w:pPr>
        <w:pStyle w:val="Heading1"/>
      </w:pPr>
      <w:r>
        <w:t>6. Le nœud institutionnel : université, UFR, filière, promotion</w:t>
      </w:r>
    </w:p>
    <w:p>
      <w:r>
        <w:t>L’université ou la grande école est envisagée comme un contexte numérique propre. Elle pourrait être représentée avec ses UFR, ses départements ou structures équivalentes, ses filières, ses niveaux et ses promotions. Des établissements distincts peuvent posséder des UFR ou filières de même nature, lesquelles pourraient être mises en relation sans perdre leur appartenance locale.</w:t>
      </w:r>
    </w:p>
    <w:p>
      <w:pPr>
        <w:spacing w:before="80" w:after="140"/>
        <w:ind w:left="288" w:right="288"/>
      </w:pPr>
      <w:r>
        <w:rPr>
          <w:rFonts w:ascii="Consolas" w:hAnsi="Consolas"/>
          <w:color w:val="333333"/>
          <w:sz w:val="17"/>
        </w:rPr>
        <w:t>Université X</w:t>
        <w:br/>
        <w:t>└── UFR Sciences</w:t>
        <w:br/>
        <w:t xml:space="preserve">    ├── Filière Informatique</w:t>
        <w:br/>
        <w:t xml:space="preserve">    │   ├── Promotion 2025–2026</w:t>
        <w:br/>
        <w:t xml:space="preserve">    │   ├── Promotion 2026–2027</w:t>
        <w:br/>
        <w:t xml:space="preserve">    │   └── Promotion 2027–2028</w:t>
        <w:br/>
        <w:t xml:space="preserve">    └── Filière Mathématiques</w:t>
        <w:br/>
        <w:br/>
        <w:t>Université Y</w:t>
        <w:br/>
        <w:t>└── UFR Sciences</w:t>
        <w:br/>
        <w:t xml:space="preserve">    └── Filière Informatique</w:t>
        <w:br/>
        <w:t xml:space="preserve">        ├── Promotion 2026–2027</w:t>
        <w:br/>
        <w:t xml:space="preserve">        └── Promotion 2027–2028</w:t>
        <w:br/>
        <w:br/>
        <w:t>Relation possible à étudier :</w:t>
        <w:br/>
        <w:t>Filière Informatique X &lt;-&gt; Filière Informatique Y &lt;-&gt; Communauté nationale</w:t>
      </w:r>
    </w:p>
    <w:p>
      <w:r>
        <w:t>L’intention est donc de permettre la coexistence de deux propriétés : conserver la singularité de chaque établissement tout en permettant une interconnexion nationale des structures comparables.</w:t>
      </w:r>
    </w:p>
    <w:p>
      <w:pPr>
        <w:pStyle w:val="Heading1"/>
      </w:pPr>
      <w:r>
        <w:t>7. La vie quotidienne académique et la communication formelle</w:t>
      </w:r>
    </w:p>
    <w:p>
      <w:r>
        <w:t>Le projet cherche aussi à formaliser des échanges qui sont aujourd’hui souvent accomplis par déplacement, appel téléphonique ou relais par un délégué. Dans l’organisation décrite, le délégué et le sous-délégué constituent des relais importants entre les étudiants et un directeur adjoint (DA) ou une autre autorité de l’établissement.</w:t>
      </w:r>
    </w:p>
    <w:p>
      <w:pPr>
        <w:spacing w:before="80" w:after="140"/>
        <w:ind w:left="288" w:right="288"/>
      </w:pPr>
      <w:r>
        <w:rPr>
          <w:rFonts w:ascii="Consolas" w:hAnsi="Consolas"/>
          <w:color w:val="333333"/>
          <w:sz w:val="17"/>
        </w:rPr>
        <w:t>Administration / DA</w:t>
        <w:br/>
        <w:t xml:space="preserve">        │</w:t>
        <w:br/>
        <w:t xml:space="preserve">        ├── publication du programme</w:t>
        <w:br/>
        <w:t xml:space="preserve">        ├── information officielle</w:t>
        <w:br/>
        <w:t xml:space="preserve">        └── consigne / annonce</w:t>
        <w:br/>
        <w:t xml:space="preserve">        │</w:t>
        <w:br/>
        <w:t xml:space="preserve">        ▼</w:t>
        <w:br/>
        <w:t>Délégué / Sous-délégué</w:t>
        <w:br/>
        <w:t xml:space="preserve">        │</w:t>
        <w:br/>
        <w:t xml:space="preserve">        ▼</w:t>
        <w:br/>
        <w:t>Étudiants</w:t>
        <w:br/>
        <w:br/>
        <w:t>Possibilité à étudier :</w:t>
        <w:br/>
        <w:t>DA &lt;-&gt; Cercle académique &lt;-&gt; Étudiants</w:t>
        <w:br/>
      </w:r>
    </w:p>
    <w:p>
      <w:r>
        <w:t>Une possibilité consiste donc à permettre au DA ou au responsable habilité de publier directement vers le contexte concerné, sans dépendre exclusivement de la disponibilité du délégué ou du sous-délégué. Cela pourrait aussi rendre la communication plus formelle, traçable et accessible à tous les membres concernés.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Situation actuelle décrite</w:t>
            </w:r>
          </w:p>
        </w:tc>
        <w:tc>
          <w:tcPr>
            <w:tcW w:type="dxa" w:w="4896"/>
            <w:shd w:fill="1F3751"/>
            <w:vAlign w:val="center"/>
          </w:tcPr>
          <w:p>
            <w:r/>
            <w:r>
              <w:rPr>
                <w:rFonts w:ascii="Aptos" w:hAnsi="Aptos"/>
                <w:b/>
                <w:color w:val="FFFFFF"/>
                <w:sz w:val="18"/>
              </w:rPr>
              <w:t>Possibilité à étudier</w:t>
            </w:r>
          </w:p>
        </w:tc>
      </w:tr>
      <w:tr>
        <w:trPr>
          <w:cantSplit/>
        </w:trPr>
        <w:tc>
          <w:tcPr>
            <w:tcW w:type="dxa" w:w="4896"/>
            <w:vAlign w:val="center"/>
          </w:tcPr>
          <w:p>
            <w:r/>
            <w:r>
              <w:rPr>
                <w:rFonts w:ascii="Aptos" w:hAnsi="Aptos"/>
                <w:b w:val="0"/>
                <w:color w:val="333333"/>
                <w:sz w:val="18"/>
              </w:rPr>
              <w:t>Le délégué transmet le programme.</w:t>
            </w:r>
          </w:p>
        </w:tc>
        <w:tc>
          <w:tcPr>
            <w:tcW w:type="dxa" w:w="4896"/>
            <w:vAlign w:val="center"/>
          </w:tcPr>
          <w:p>
            <w:r/>
            <w:r>
              <w:rPr>
                <w:rFonts w:ascii="Aptos" w:hAnsi="Aptos"/>
                <w:b w:val="0"/>
                <w:color w:val="333333"/>
                <w:sz w:val="18"/>
              </w:rPr>
              <w:t>Le programme pourrait être publié directement dans le contexte académique concerné.</w:t>
            </w:r>
          </w:p>
        </w:tc>
      </w:tr>
      <w:tr>
        <w:trPr>
          <w:cantSplit/>
        </w:trPr>
        <w:tc>
          <w:tcPr>
            <w:tcW w:type="dxa" w:w="4896"/>
            <w:vAlign w:val="center"/>
          </w:tcPr>
          <w:p>
            <w:r/>
            <w:r>
              <w:rPr>
                <w:rFonts w:ascii="Aptos" w:hAnsi="Aptos"/>
                <w:b w:val="0"/>
                <w:color w:val="333333"/>
                <w:sz w:val="18"/>
              </w:rPr>
              <w:t>Délégué indisponible.</w:t>
            </w:r>
          </w:p>
        </w:tc>
        <w:tc>
          <w:tcPr>
            <w:tcW w:type="dxa" w:w="4896"/>
            <w:vAlign w:val="center"/>
          </w:tcPr>
          <w:p>
            <w:r/>
            <w:r>
              <w:rPr>
                <w:rFonts w:ascii="Aptos" w:hAnsi="Aptos"/>
                <w:b w:val="0"/>
                <w:color w:val="333333"/>
                <w:sz w:val="18"/>
              </w:rPr>
              <w:t>L’information pourrait rester accessible sans dépendre d’une personne relais.</w:t>
            </w:r>
          </w:p>
        </w:tc>
      </w:tr>
      <w:tr>
        <w:trPr>
          <w:cantSplit/>
        </w:trPr>
        <w:tc>
          <w:tcPr>
            <w:tcW w:type="dxa" w:w="4896"/>
            <w:vAlign w:val="center"/>
          </w:tcPr>
          <w:p>
            <w:r/>
            <w:r>
              <w:rPr>
                <w:rFonts w:ascii="Aptos" w:hAnsi="Aptos"/>
                <w:b w:val="0"/>
                <w:color w:val="333333"/>
                <w:sz w:val="18"/>
              </w:rPr>
              <w:t>Échange DA &lt;-&gt; délégué par appel/déplacement.</w:t>
            </w:r>
          </w:p>
        </w:tc>
        <w:tc>
          <w:tcPr>
            <w:tcW w:type="dxa" w:w="4896"/>
            <w:vAlign w:val="center"/>
          </w:tcPr>
          <w:p>
            <w:r/>
            <w:r>
              <w:rPr>
                <w:rFonts w:ascii="Aptos" w:hAnsi="Aptos"/>
                <w:b w:val="0"/>
                <w:color w:val="333333"/>
                <w:sz w:val="18"/>
              </w:rPr>
              <w:t>Un canal institutionnel au sein du contexte pourrait formaliser la relation.</w:t>
            </w:r>
          </w:p>
        </w:tc>
      </w:tr>
      <w:tr>
        <w:trPr>
          <w:cantSplit/>
        </w:trPr>
        <w:tc>
          <w:tcPr>
            <w:tcW w:type="dxa" w:w="4896"/>
            <w:vAlign w:val="center"/>
          </w:tcPr>
          <w:p>
            <w:r/>
            <w:r>
              <w:rPr>
                <w:rFonts w:ascii="Aptos" w:hAnsi="Aptos"/>
                <w:b w:val="0"/>
                <w:color w:val="333333"/>
                <w:sz w:val="18"/>
              </w:rPr>
              <w:t>Programme modifié et renvoyé dans le groupe.</w:t>
            </w:r>
          </w:p>
        </w:tc>
        <w:tc>
          <w:tcPr>
            <w:tcW w:type="dxa" w:w="4896"/>
            <w:vAlign w:val="center"/>
          </w:tcPr>
          <w:p>
            <w:r/>
            <w:r>
              <w:rPr>
                <w:rFonts w:ascii="Aptos" w:hAnsi="Aptos"/>
                <w:b w:val="0"/>
                <w:color w:val="333333"/>
                <w:sz w:val="18"/>
              </w:rPr>
              <w:t>Une gestion par versions pourrait être étudiée.</w:t>
            </w:r>
          </w:p>
        </w:tc>
      </w:tr>
    </w:tbl>
    <w:p/>
    <w:p>
      <w:pPr>
        <w:pStyle w:val="Heading1"/>
      </w:pPr>
      <w:r>
        <w:t>8. Documents, ressources, persistance et déduplication</w:t>
      </w:r>
    </w:p>
    <w:p>
      <w:r>
        <w:t>Le problème documentaire est un axe majeur du monde à modéliser. Dans les usages décrits, des cours, exercices, corrections, programmes, PDF ou photographies sont partagés dans des groupes. Leur durée de vie et leur disponibilité peuvent dépendre du téléphone ou de la gestion du fichier par la personne qui l’a partagé.</w:t>
      </w:r>
    </w:p>
    <w:p>
      <w:r>
        <w:t>L’exemple donné est le suivant : un document peut être partagé dans un groupe ; si le document n’a pas été téléchargé et que la source disparaît ou supprime localement le fichier, son accessibilité future peut être compromise. Un autre cas est celui du changement de téléphone, de la copie vers une clé USB, du nettoyage du stockage ou de la suppression du fichier après la fin d’une période académique.</w:t>
      </w:r>
    </w:p>
    <w:p>
      <w:r>
        <w:t>L’intention est donc d’examiner une architecture dans laquelle la conversation ne serait pas le propriétaire du document. Le document ou la ressource pourrait exister comme objet durable, puis être référencé depuis plusieurs contextes.</w:t>
      </w:r>
    </w:p>
    <w:p>
      <w:pPr>
        <w:spacing w:before="80" w:after="140"/>
        <w:ind w:left="288" w:right="288"/>
      </w:pPr>
      <w:r>
        <w:rPr>
          <w:rFonts w:ascii="Consolas" w:hAnsi="Consolas"/>
          <w:color w:val="333333"/>
          <w:sz w:val="17"/>
        </w:rPr>
        <w:t>Document / Ressource</w:t>
        <w:br/>
        <w:t xml:space="preserve">        ↑</w:t>
        <w:br/>
        <w:t xml:space="preserve">        │ référence</w:t>
        <w:br/>
        <w:t xml:space="preserve">        │</w:t>
        <w:br/>
        <w:t>Message / Annonce / Discussion</w:t>
        <w:br/>
        <w:t xml:space="preserve">        │</w:t>
        <w:br/>
        <w:t xml:space="preserve">        ├── Promotion A</w:t>
        <w:br/>
        <w:t xml:space="preserve">        ├── Promotion B</w:t>
        <w:br/>
        <w:t xml:space="preserve">        └── Communauté disciplinaire</w:t>
      </w:r>
    </w:p>
    <w:p>
      <w:pPr>
        <w:pStyle w:val="Heading2"/>
      </w:pPr>
      <w:r>
        <w:t>8.1. Déduplication des fichiers</w:t>
      </w:r>
    </w:p>
    <w:p>
      <w:r>
        <w:t>Une autre possibilité consiste à détecter qu’un fichier identique a déjà été déposé. Si une personne tente d’envoyer exactement le même document, la plateforme pourrait éventuellement proposer de référencer la ressource déjà présente plutôt que de créer une nouvelle copie logique.</w:t>
      </w:r>
    </w:p>
    <w:p>
      <w:r>
        <w:t>Cette idée doit cependant être distinguée de la notion de version. Deux documents peuvent porter un titre identique mais avoir un nombre de pages différent, un contenu modifié ou une autre édition. L’exemple évoqué est celui d’un document de 50 pages et d’un autre de 53 pages. Ils ne devraient pas être fusionnés automatiquement au seul motif que leur nom se ressemble.</w:t>
      </w:r>
    </w:p>
    <w:p>
      <w:pPr>
        <w:pStyle w:val="Heading2"/>
      </w:pPr>
      <w:r>
        <w:t>8.2. Même sujet, plusieurs solutions</w:t>
      </w:r>
    </w:p>
    <w:p>
      <w:r>
        <w:t>La non-duplication ne signifie donc pas « une seule réponse possible ». Un même exercice peut avoir plusieurs corrections légitimes, plusieurs méthodes de résolution ou plusieurs approches rédactionnelles. Le système devrait éventuellement distinguer l’identité du problème de la multiplicité des solutions.</w:t>
      </w:r>
    </w:p>
    <w:p>
      <w:pPr>
        <w:spacing w:before="80" w:after="140"/>
        <w:ind w:left="288" w:right="288"/>
      </w:pPr>
      <w:r>
        <w:rPr>
          <w:rFonts w:ascii="Consolas" w:hAnsi="Consolas"/>
          <w:color w:val="333333"/>
          <w:sz w:val="17"/>
        </w:rPr>
        <w:t>Sujet / Exercice X</w:t>
        <w:br/>
        <w:t>├── Correction A — méthode 1</w:t>
        <w:br/>
        <w:t>├── Correction B — méthode 2</w:t>
        <w:br/>
        <w:t>├── Correction C — méthode 3</w:t>
        <w:br/>
        <w:t>└── Explication complémentaire</w:t>
      </w:r>
    </w:p>
    <w:p>
      <w:pPr>
        <w:pStyle w:val="Heading2"/>
      </w:pPr>
      <w:r>
        <w:t>8.3. Piste conceptuelle : unité de connaissance</w:t>
      </w:r>
    </w:p>
    <w:p>
      <w:r>
        <w:t>Une possibilité plus ambitieuse est de ne pas concevoir l’écosystème comme un simple stockage de fichiers, mais comme un système de ressources ou d’unités de connaissance. Un fichier PDF, une photo, une transcription, une correction ou une explication seraient des représentations ou des artefacts reliés à un objet conceptuel plus large. Cette piste est proposée comme sujet d’étude et non comme modèle arrêté.</w:t>
      </w:r>
    </w:p>
    <w:p>
      <w:pPr>
        <w:pStyle w:val="Heading1"/>
      </w:pPr>
      <w:r>
        <w:t>9. Continuité temporelle et mémoire des promotions</w:t>
      </w:r>
    </w:p>
    <w:p>
      <w:r>
        <w:t>Un problème récurrent est la fin d’une année académique. Dans un groupe de messagerie, la structure peut être perçue comme liée à une période alors que certains contenus auraient une valeur historique ou pourraient rester utiles aux promotions suivantes. Il est également difficile de considérer le groupe comme un « bien collectif » durable lorsqu’il dépend de comptes individuels ou de la volonté d’un créateur.</w:t>
      </w:r>
    </w:p>
    <w:p>
      <w:r>
        <w:t>Une question centrale est donc : une même filière pourrait-elle disposer d’un contexte durable, auquel plusieurs promotions successives sont rattachées ? Une autre possibilité serait de créer une nouvelle instance pour chaque année académique. Une approche hybride pourrait également être étudiée.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1F3751"/>
            <w:vAlign w:val="center"/>
          </w:tcPr>
          <w:p>
            <w:r/>
            <w:r>
              <w:rPr>
                <w:rFonts w:ascii="Aptos" w:hAnsi="Aptos"/>
                <w:b/>
                <w:color w:val="FFFFFF"/>
                <w:sz w:val="18"/>
              </w:rPr>
              <w:t>Possibilité</w:t>
            </w:r>
          </w:p>
        </w:tc>
        <w:tc>
          <w:tcPr>
            <w:tcW w:type="dxa" w:w="3264"/>
            <w:shd w:fill="1F3751"/>
            <w:vAlign w:val="center"/>
          </w:tcPr>
          <w:p>
            <w:r/>
            <w:r>
              <w:rPr>
                <w:rFonts w:ascii="Aptos" w:hAnsi="Aptos"/>
                <w:b/>
                <w:color w:val="FFFFFF"/>
                <w:sz w:val="18"/>
              </w:rPr>
              <w:t>Description</w:t>
            </w:r>
          </w:p>
        </w:tc>
        <w:tc>
          <w:tcPr>
            <w:tcW w:type="dxa" w:w="3264"/>
            <w:shd w:fill="1F3751"/>
            <w:vAlign w:val="center"/>
          </w:tcPr>
          <w:p>
            <w:r/>
            <w:r>
              <w:rPr>
                <w:rFonts w:ascii="Aptos" w:hAnsi="Aptos"/>
                <w:b/>
                <w:color w:val="FFFFFF"/>
                <w:sz w:val="18"/>
              </w:rPr>
              <w:t>Sujet à étudier</w:t>
            </w:r>
          </w:p>
        </w:tc>
      </w:tr>
      <w:tr>
        <w:trPr>
          <w:cantSplit/>
        </w:trPr>
        <w:tc>
          <w:tcPr>
            <w:tcW w:type="dxa" w:w="3264"/>
            <w:vAlign w:val="center"/>
          </w:tcPr>
          <w:p>
            <w:r/>
            <w:r>
              <w:rPr>
                <w:rFonts w:ascii="Aptos" w:hAnsi="Aptos"/>
                <w:b w:val="0"/>
                <w:color w:val="333333"/>
                <w:sz w:val="18"/>
              </w:rPr>
              <w:t>Contexte permanent</w:t>
            </w:r>
          </w:p>
        </w:tc>
        <w:tc>
          <w:tcPr>
            <w:tcW w:type="dxa" w:w="3264"/>
            <w:vAlign w:val="center"/>
          </w:tcPr>
          <w:p>
            <w:r/>
            <w:r>
              <w:rPr>
                <w:rFonts w:ascii="Aptos" w:hAnsi="Aptos"/>
                <w:b w:val="0"/>
                <w:color w:val="333333"/>
                <w:sz w:val="18"/>
              </w:rPr>
              <w:t>La filière dispose d’un espace durable au fil des années.</w:t>
            </w:r>
          </w:p>
        </w:tc>
        <w:tc>
          <w:tcPr>
            <w:tcW w:type="dxa" w:w="3264"/>
            <w:vAlign w:val="center"/>
          </w:tcPr>
          <w:p>
            <w:r/>
            <w:r>
              <w:rPr>
                <w:rFonts w:ascii="Aptos" w:hAnsi="Aptos"/>
                <w:b w:val="0"/>
                <w:color w:val="333333"/>
                <w:sz w:val="18"/>
              </w:rPr>
              <w:t>Gestion des promotions, droits, mémoire et bruit.</w:t>
            </w:r>
          </w:p>
        </w:tc>
      </w:tr>
      <w:tr>
        <w:trPr>
          <w:cantSplit/>
        </w:trPr>
        <w:tc>
          <w:tcPr>
            <w:tcW w:type="dxa" w:w="3264"/>
            <w:vAlign w:val="center"/>
          </w:tcPr>
          <w:p>
            <w:r/>
            <w:r>
              <w:rPr>
                <w:rFonts w:ascii="Aptos" w:hAnsi="Aptos"/>
                <w:b w:val="0"/>
                <w:color w:val="333333"/>
                <w:sz w:val="18"/>
              </w:rPr>
              <w:t>Contexte par promotion</w:t>
            </w:r>
          </w:p>
        </w:tc>
        <w:tc>
          <w:tcPr>
            <w:tcW w:type="dxa" w:w="3264"/>
            <w:vAlign w:val="center"/>
          </w:tcPr>
          <w:p>
            <w:r/>
            <w:r>
              <w:rPr>
                <w:rFonts w:ascii="Aptos" w:hAnsi="Aptos"/>
                <w:b w:val="0"/>
                <w:color w:val="333333"/>
                <w:sz w:val="18"/>
              </w:rPr>
              <w:t>Chaque année académique dispose de son propre espace.</w:t>
            </w:r>
          </w:p>
        </w:tc>
        <w:tc>
          <w:tcPr>
            <w:tcW w:type="dxa" w:w="3264"/>
            <w:vAlign w:val="center"/>
          </w:tcPr>
          <w:p>
            <w:r/>
            <w:r>
              <w:rPr>
                <w:rFonts w:ascii="Aptos" w:hAnsi="Aptos"/>
                <w:b w:val="0"/>
                <w:color w:val="333333"/>
                <w:sz w:val="18"/>
              </w:rPr>
              <w:t>Archivage, continuité, création et fermeture.</w:t>
            </w:r>
          </w:p>
        </w:tc>
      </w:tr>
      <w:tr>
        <w:trPr>
          <w:cantSplit/>
        </w:trPr>
        <w:tc>
          <w:tcPr>
            <w:tcW w:type="dxa" w:w="3264"/>
            <w:vAlign w:val="center"/>
          </w:tcPr>
          <w:p>
            <w:r/>
            <w:r>
              <w:rPr>
                <w:rFonts w:ascii="Aptos" w:hAnsi="Aptos"/>
                <w:b w:val="0"/>
                <w:color w:val="333333"/>
                <w:sz w:val="18"/>
              </w:rPr>
              <w:t>Modèle hybride</w:t>
            </w:r>
          </w:p>
        </w:tc>
        <w:tc>
          <w:tcPr>
            <w:tcW w:type="dxa" w:w="3264"/>
            <w:vAlign w:val="center"/>
          </w:tcPr>
          <w:p>
            <w:r/>
            <w:r>
              <w:rPr>
                <w:rFonts w:ascii="Aptos" w:hAnsi="Aptos"/>
                <w:b w:val="0"/>
                <w:color w:val="333333"/>
                <w:sz w:val="18"/>
              </w:rPr>
              <w:t>Un espace permanent coexiste avec des espaces de promotion.</w:t>
            </w:r>
          </w:p>
        </w:tc>
        <w:tc>
          <w:tcPr>
            <w:tcW w:type="dxa" w:w="3264"/>
            <w:vAlign w:val="center"/>
          </w:tcPr>
          <w:p>
            <w:r/>
            <w:r>
              <w:rPr>
                <w:rFonts w:ascii="Aptos" w:hAnsi="Aptos"/>
                <w:b w:val="0"/>
                <w:color w:val="333333"/>
                <w:sz w:val="18"/>
              </w:rPr>
              <w:t>Frontière entre mémoire commune et vie quotidienne.</w:t>
            </w:r>
          </w:p>
        </w:tc>
      </w:tr>
    </w:tbl>
    <w:p/>
    <w:p>
      <w:r>
        <w:t>Aucune de ces possibilités n’est arrêtée dans le présent document.</w:t>
      </w:r>
    </w:p>
    <w:p>
      <w:pPr>
        <w:pStyle w:val="Heading1"/>
      </w:pPr>
      <w:r>
        <w:t>10. Lycéens, bacheliers, futurs étudiants et étudiants</w:t>
      </w:r>
    </w:p>
    <w:p>
      <w:r>
        <w:t>Le projet envisage également le continuum entre le lycée et l’enseignement supérieur. L’objectif évoqué n’est pas nécessairement de transformer toute la plateforme en réseau social lycéen, mais d’étudier une transition qui puisse préparer les futurs étudiants à leur vie universitaire et encourager leur adhésion progressive à l’écosystème.</w:t>
      </w:r>
    </w:p>
    <w:p>
      <w:pPr>
        <w:spacing w:before="80" w:after="140"/>
        <w:ind w:left="288" w:right="288"/>
      </w:pPr>
      <w:r>
        <w:rPr>
          <w:rFonts w:ascii="Consolas" w:hAnsi="Consolas"/>
          <w:color w:val="333333"/>
          <w:sz w:val="17"/>
        </w:rPr>
        <w:t>LYCÉEN</w:t>
        <w:br/>
        <w:t xml:space="preserve">  v découverte / orientation / préparation</w:t>
        <w:br/>
        <w:t>BACHELIER / FUTUR ÉTUDIANT</w:t>
        <w:br/>
        <w:t xml:space="preserve">  v transition vers l’enseignement supérieur</w:t>
        <w:br/>
        <w:t>ÉTUDIANT</w:t>
        <w:br/>
        <w:t xml:space="preserve">  v appartenance institutionnelle et vie académique</w:t>
        <w:br/>
        <w:t>ANCIEN ÉTUDIANT / ALUMNI (possibilité à étudier)</w:t>
      </w:r>
    </w:p>
    <w:p>
      <w:r>
        <w:t>Une distinction est souhaitée entre les personnes qui découvrent le monde étudiant avant le baccalauréat, les bacheliers qui n’ont pas encore une appartenance institutionnelle confirmée, les étudiants officiellement inscrits et, éventuellement, les anciens étudiants.</w:t>
      </w:r>
    </w:p>
    <w:p>
      <w:r>
        <w:t>Dans les échanges, CampusFaso est envisagé comme un point de référence possible pour l’identité ou l’état officiel de l’étudiant : un étudiant serait notamment associé à une inscription, une orientation et un identifiant national de l’étudiant. Cela doit rester une hypothèse d’interopérabilité à étudier ; le présent document ne suppose ni accès technique, ni API, ni accord institutionnel.</w:t>
      </w:r>
    </w:p>
    <w:p>
      <w:pPr>
        <w:pStyle w:val="Heading1"/>
      </w:pPr>
      <w:r>
        <w:t>11. Réseau national de communautés et interconnexion des établissements</w:t>
      </w:r>
    </w:p>
    <w:p>
      <w:r>
        <w:t>Le système est imaginé comme un réseau dans lequel un nœud central permettrait de découvrir et relier les établissements, tandis que chaque établissement conserverait son contexte. Le nœud central n’est pas nécessairement pensé comme un espace qui absorbe tous les contenus locaux ; il peut être étudié comme un point d’interconnexion, de découverte et de relations.</w:t>
      </w:r>
    </w:p>
    <w:p>
      <w:pPr>
        <w:spacing w:before="80" w:after="140"/>
        <w:ind w:left="288" w:right="288"/>
      </w:pPr>
      <w:r>
        <w:rPr>
          <w:rFonts w:ascii="Consolas" w:hAnsi="Consolas"/>
          <w:color w:val="333333"/>
          <w:sz w:val="17"/>
        </w:rPr>
        <w:t xml:space="preserve">                         NŒUD CENTRAL / ÉCOSYSTÈME</w:t>
        <w:br/>
        <w:t xml:space="preserve">                                  │</w:t>
        <w:br/>
        <w:t xml:space="preserve">           ┌──────────────────────┼──────────────────────┐</w:t>
        <w:br/>
        <w:t xml:space="preserve">           │                      │                      │</w:t>
        <w:br/>
        <w:t xml:space="preserve">      Université A          Université B          Grande École C</w:t>
        <w:br/>
        <w:t xml:space="preserve">           │                      │                      │</w:t>
        <w:br/>
        <w:t xml:space="preserve">      UFR / Filières         UFR / Filières         UFR / Filières</w:t>
        <w:br/>
        <w:t xml:space="preserve">           │                      │                      │</w:t>
        <w:br/>
        <w:t xml:space="preserve">           └───────────────┬──────┴──────┬───────────────┘</w:t>
        <w:br/>
        <w:t xml:space="preserve">                           │             │</w:t>
        <w:br/>
        <w:t xml:space="preserve">                    Communautés    Ressources partagées</w:t>
      </w:r>
    </w:p>
    <w:p>
      <w:r>
        <w:t>Une propriété recherchée est la capacité de relier des structures équivalentes : par exemple des UFR ou des filières de droit, de biologie, d’économie ou d’informatique appartenant à des établissements différents. La même ressource documentaire pourrait, sous réserve des règles à définir, être référencée dans plusieurs contextes sans être physiquement stockée plusieurs fois.</w:t>
      </w:r>
    </w:p>
    <w:p>
      <w:pPr>
        <w:pStyle w:val="Heading1"/>
      </w:pPr>
      <w:r>
        <w:t>12. Connaissance, apprentissage collectif et communautés disciplinaires</w:t>
      </w:r>
    </w:p>
    <w:p>
      <w:r>
        <w:t>Le monde envisagé doit aussi permettre aux étudiants d’échanger, d’apprendre ensemble, de discuter et de produire de la connaissance. Les communautés peuvent être institutionnelles, disciplinaires, professionnelles, par projet ou par centre d’intérêt.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Type de communauté envisagé</w:t>
            </w:r>
          </w:p>
        </w:tc>
        <w:tc>
          <w:tcPr>
            <w:tcW w:type="dxa" w:w="4896"/>
            <w:shd w:fill="1F3751"/>
            <w:vAlign w:val="center"/>
          </w:tcPr>
          <w:p>
            <w:r/>
            <w:r>
              <w:rPr>
                <w:rFonts w:ascii="Aptos" w:hAnsi="Aptos"/>
                <w:b/>
                <w:color w:val="FFFFFF"/>
                <w:sz w:val="18"/>
              </w:rPr>
              <w:t>Exemples évoqués</w:t>
            </w:r>
          </w:p>
        </w:tc>
      </w:tr>
      <w:tr>
        <w:trPr>
          <w:cantSplit/>
        </w:trPr>
        <w:tc>
          <w:tcPr>
            <w:tcW w:type="dxa" w:w="4896"/>
            <w:vAlign w:val="center"/>
          </w:tcPr>
          <w:p>
            <w:r/>
            <w:r>
              <w:rPr>
                <w:rFonts w:ascii="Aptos" w:hAnsi="Aptos"/>
                <w:b w:val="0"/>
                <w:color w:val="333333"/>
                <w:sz w:val="18"/>
              </w:rPr>
              <w:t>Institutionnelle</w:t>
            </w:r>
          </w:p>
        </w:tc>
        <w:tc>
          <w:tcPr>
            <w:tcW w:type="dxa" w:w="4896"/>
            <w:vAlign w:val="center"/>
          </w:tcPr>
          <w:p>
            <w:r/>
            <w:r>
              <w:rPr>
                <w:rFonts w:ascii="Aptos" w:hAnsi="Aptos"/>
                <w:b w:val="0"/>
                <w:color w:val="333333"/>
                <w:sz w:val="18"/>
              </w:rPr>
              <w:t>Étudiants d’une université ou d’un établissement.</w:t>
            </w:r>
          </w:p>
        </w:tc>
      </w:tr>
      <w:tr>
        <w:trPr>
          <w:cantSplit/>
        </w:trPr>
        <w:tc>
          <w:tcPr>
            <w:tcW w:type="dxa" w:w="4896"/>
            <w:vAlign w:val="center"/>
          </w:tcPr>
          <w:p>
            <w:r/>
            <w:r>
              <w:rPr>
                <w:rFonts w:ascii="Aptos" w:hAnsi="Aptos"/>
                <w:b w:val="0"/>
                <w:color w:val="333333"/>
                <w:sz w:val="18"/>
              </w:rPr>
              <w:t>Académique</w:t>
            </w:r>
          </w:p>
        </w:tc>
        <w:tc>
          <w:tcPr>
            <w:tcW w:type="dxa" w:w="4896"/>
            <w:vAlign w:val="center"/>
          </w:tcPr>
          <w:p>
            <w:r/>
            <w:r>
              <w:rPr>
                <w:rFonts w:ascii="Aptos" w:hAnsi="Aptos"/>
                <w:b w:val="0"/>
                <w:color w:val="333333"/>
                <w:sz w:val="18"/>
              </w:rPr>
              <w:t>Étudiants d’une filière ou d’un domaine.</w:t>
            </w:r>
          </w:p>
        </w:tc>
      </w:tr>
      <w:tr>
        <w:trPr>
          <w:cantSplit/>
        </w:trPr>
        <w:tc>
          <w:tcPr>
            <w:tcW w:type="dxa" w:w="4896"/>
            <w:vAlign w:val="center"/>
          </w:tcPr>
          <w:p>
            <w:r/>
            <w:r>
              <w:rPr>
                <w:rFonts w:ascii="Aptos" w:hAnsi="Aptos"/>
                <w:b w:val="0"/>
                <w:color w:val="333333"/>
                <w:sz w:val="18"/>
              </w:rPr>
              <w:t>Disciplinaire</w:t>
            </w:r>
          </w:p>
        </w:tc>
        <w:tc>
          <w:tcPr>
            <w:tcW w:type="dxa" w:w="4896"/>
            <w:vAlign w:val="center"/>
          </w:tcPr>
          <w:p>
            <w:r/>
            <w:r>
              <w:rPr>
                <w:rFonts w:ascii="Aptos" w:hAnsi="Aptos"/>
                <w:b w:val="0"/>
                <w:color w:val="333333"/>
                <w:sz w:val="18"/>
              </w:rPr>
              <w:t>Développeurs, juristes, économistes, biologistes, étudiants en droit.</w:t>
            </w:r>
          </w:p>
        </w:tc>
      </w:tr>
      <w:tr>
        <w:trPr>
          <w:cantSplit/>
        </w:trPr>
        <w:tc>
          <w:tcPr>
            <w:tcW w:type="dxa" w:w="4896"/>
            <w:vAlign w:val="center"/>
          </w:tcPr>
          <w:p>
            <w:r/>
            <w:r>
              <w:rPr>
                <w:rFonts w:ascii="Aptos" w:hAnsi="Aptos"/>
                <w:b w:val="0"/>
                <w:color w:val="333333"/>
                <w:sz w:val="18"/>
              </w:rPr>
              <w:t>Pratique / compétence</w:t>
            </w:r>
          </w:p>
        </w:tc>
        <w:tc>
          <w:tcPr>
            <w:tcW w:type="dxa" w:w="4896"/>
            <w:vAlign w:val="center"/>
          </w:tcPr>
          <w:p>
            <w:r/>
            <w:r>
              <w:rPr>
                <w:rFonts w:ascii="Aptos" w:hAnsi="Aptos"/>
                <w:b w:val="0"/>
                <w:color w:val="333333"/>
                <w:sz w:val="18"/>
              </w:rPr>
              <w:t>Cybersécurité, programmation, recherche, entrepreneuriat, etc. — possibilités.</w:t>
            </w:r>
          </w:p>
        </w:tc>
      </w:tr>
      <w:tr>
        <w:trPr>
          <w:cantSplit/>
        </w:trPr>
        <w:tc>
          <w:tcPr>
            <w:tcW w:type="dxa" w:w="4896"/>
            <w:vAlign w:val="center"/>
          </w:tcPr>
          <w:p>
            <w:r/>
            <w:r>
              <w:rPr>
                <w:rFonts w:ascii="Aptos" w:hAnsi="Aptos"/>
                <w:b w:val="0"/>
                <w:color w:val="333333"/>
                <w:sz w:val="18"/>
              </w:rPr>
              <w:t>Projet</w:t>
            </w:r>
          </w:p>
        </w:tc>
        <w:tc>
          <w:tcPr>
            <w:tcW w:type="dxa" w:w="4896"/>
            <w:vAlign w:val="center"/>
          </w:tcPr>
          <w:p>
            <w:r/>
            <w:r>
              <w:rPr>
                <w:rFonts w:ascii="Aptos" w:hAnsi="Aptos"/>
                <w:b w:val="0"/>
                <w:color w:val="333333"/>
                <w:sz w:val="18"/>
              </w:rPr>
              <w:t>Concours, hackathons, projets étudiants, travaux collectifs — possibilités.</w:t>
            </w:r>
          </w:p>
        </w:tc>
      </w:tr>
    </w:tbl>
    <w:p/>
    <w:p>
      <w:r>
        <w:t>L’enjeu est d’éviter une multiplication artificielle de groupes vides. Les formes de communautés, leur création, leur gouvernance et leur cycle de vie devront être étudiés à partir des usages réels.</w:t>
      </w:r>
    </w:p>
    <w:p>
      <w:pPr>
        <w:pStyle w:val="Heading1"/>
      </w:pPr>
      <w:r>
        <w:t>13. Possibilités de modules ou mini-écosystèmes spécialisés</w:t>
      </w:r>
    </w:p>
    <w:p>
      <w:r>
        <w:t>Une piste évoquée consiste à aller au-delà des communautés de discussion pour proposer, à certaines disciplines, des environnements spécialisés. Un domaine pourrait disposer d’un tableau de bord ou d’un ensemble de capacités adaptées à ses pratiques, avec éventuellement des composants déjà préconfigurés.</w:t>
      </w:r>
    </w:p>
    <w:p>
      <w:pPr>
        <w:spacing w:before="80" w:after="140"/>
        <w:ind w:left="288" w:right="288"/>
      </w:pPr>
      <w:r>
        <w:rPr>
          <w:rFonts w:ascii="Consolas" w:hAnsi="Consolas"/>
          <w:color w:val="333333"/>
          <w:sz w:val="17"/>
        </w:rPr>
        <w:t>ÉCOSYSTÈME ESTUDIANTIN</w:t>
        <w:br/>
        <w:t>│</w:t>
        <w:br/>
        <w:t>├── Infrastructure commune</w:t>
        <w:br/>
        <w:t>│   ├── identité</w:t>
        <w:br/>
        <w:t>│   ├── contexte institutionnel</w:t>
        <w:br/>
        <w:t>│   ├── communautés</w:t>
        <w:br/>
        <w:t>│   ├── documents / connaissances</w:t>
        <w:br/>
        <w:t>│   └── communication</w:t>
        <w:br/>
        <w:t>│</w:t>
        <w:br/>
        <w:t>└── Modules spécialisés (possibilités)</w:t>
        <w:br/>
        <w:t xml:space="preserve">    ├── Informatique / développement</w:t>
        <w:br/>
        <w:t xml:space="preserve">    ├── Droit</w:t>
        <w:br/>
        <w:t xml:space="preserve">    ├── Économie</w:t>
        <w:br/>
        <w:t xml:space="preserve">    ├── Biologie</w:t>
        <w:br/>
        <w:t xml:space="preserve">    └── Autres domaines</w:t>
      </w:r>
    </w:p>
    <w:p>
      <w:r>
        <w:t>Les fonctionnalités concrètes de ces modules ne sont pas définies. L’intention est simplement de conserver ouverte la possibilité d’un modèle dans lequel l’infrastructure commune peut accueillir des expériences disciplinaires différentes sans obliger chaque domaine à construire une plateforme indépendante.</w:t>
      </w:r>
    </w:p>
    <w:p>
      <w:pPr>
        <w:pStyle w:val="Heading1"/>
      </w:pPr>
      <w:r>
        <w:t>14. Modèle conceptuel préliminaire du monde à représenter</w:t>
      </w:r>
    </w:p>
    <w:p>
      <w:r>
        <w:t>Le modèle suivant synthétise les objets ou concepts qui apparaissent dans les échanges. Il s’agit d’un inventaire de réflexion, pas d’une modélisation DDD définitive.</w:t>
      </w:r>
    </w:p>
    <w:p>
      <w:pPr>
        <w:spacing w:before="80" w:after="140"/>
        <w:ind w:left="288" w:right="288"/>
      </w:pPr>
      <w:r>
        <w:rPr>
          <w:rFonts w:ascii="Consolas" w:hAnsi="Consolas"/>
          <w:color w:val="333333"/>
          <w:sz w:val="17"/>
        </w:rPr>
        <w:t>INSTITUTION</w:t>
        <w:br/>
        <w:t>│</w:t>
        <w:br/>
        <w:t>├── UFR / structure académique</w:t>
        <w:br/>
        <w:t>│   └── FILIÈRE / département</w:t>
        <w:br/>
        <w:t>│       └── NIVEAU / PARCOURS</w:t>
        <w:br/>
        <w:t>│           └── PROMOTION / ANNÉE ACADÉMIQUE</w:t>
        <w:br/>
        <w:t>│               └── CERCLE ACADÉMIQUE</w:t>
        <w:br/>
        <w:t>│                   ├── membres</w:t>
        <w:br/>
        <w:t>│                   ├── rôles</w:t>
        <w:br/>
        <w:t>│                   ├── annonces</w:t>
        <w:br/>
        <w:t>│                   ├── programme</w:t>
        <w:br/>
        <w:t>│                   ├── discussions</w:t>
        <w:br/>
        <w:t>│                   └── ressources</w:t>
        <w:br/>
        <w:t>│</w:t>
        <w:br/>
        <w:t>├── COMMUNAUTÉS TRANSVERSALES</w:t>
        <w:br/>
        <w:t>│</w:t>
        <w:br/>
        <w:t>└── RELATIONS INTER-ÉTABLISSEMENTS</w:t>
        <w:br/>
        <w:br/>
        <w:t>RESSOURCE / CONNAISSANCE</w:t>
        <w:br/>
        <w:t>├── document</w:t>
        <w:br/>
        <w:t>├── photo / scan</w:t>
        <w:br/>
        <w:t>├── exercice</w:t>
        <w:br/>
        <w:t>├── correction(s)</w:t>
        <w:br/>
        <w:t>├── version(s)</w:t>
        <w:br/>
        <w:t>├── référence(s) depuis plusieurs contextes</w:t>
        <w:br/>
        <w:t>└── relations conceptuelles</w:t>
      </w:r>
    </w:p>
    <w:p>
      <w:r>
        <w:t>Cette représentation constitue une base pour une future cartographie DDD stratégique, si les études démontrent que ces concepts correspondent bien au langage et aux besoins du terrain.</w:t>
      </w:r>
    </w:p>
    <w:p>
      <w:pPr>
        <w:pStyle w:val="Heading1"/>
      </w:pPr>
      <w:r>
        <w:t>15. Produit attendu — formulation volontairement ouverte</w:t>
      </w:r>
    </w:p>
    <w:p>
      <w:r>
        <w:t>À ce stade, le produit attendu peut être décrit non par une liste de fonctionnalités mais par une capacité globale : fournir un environnement numérique dans lequel la réalité de la vie étudiante burkinabè puisse être représentée, organisée, reliée et conservée.</w:t>
      </w:r>
    </w:p>
    <w:p>
      <w:pPr>
        <w:pStyle w:val="QuoteBlock"/>
      </w:pPr>
      <w:r>
        <w:t>Formulation de travail : un écosystème numérique étudiant national, contextualisé par établissement, capable de modéliser la vie académique et collective des étudiants autour des institutions, UFR, filières, promotions, communautés et connaissances, tout en permettant l’interconnexion de ces contextes.</w:t>
      </w:r>
    </w:p>
    <w:p>
      <w:r>
        <w:t>La matérialisation de cet environnement — application mobile, web, plateforme distribuée ou autre — n’est pas déterminée ici.</w:t>
      </w:r>
    </w:p>
    <w:p>
      <w:pPr>
        <w:pStyle w:val="Heading1"/>
      </w:pPr>
      <w:r>
        <w:t>16. Frontières : ce que le projet n’est pas nécessairement</w:t>
      </w:r>
    </w:p>
    <w:p>
      <w:r>
        <w:t>Afin de préserver l’identité du projet, plusieurs assimilations doivent rester questionnées :</w:t>
      </w:r>
    </w:p>
    <w:p>
      <w:pPr>
        <w:pStyle w:val="ListBullet"/>
        <w:spacing w:after="60"/>
      </w:pPr>
      <w:r>
        <w:t>Un réseau social généraliste destiné à toute la population.</w:t>
      </w:r>
    </w:p>
    <w:p>
      <w:pPr>
        <w:pStyle w:val="ListBullet"/>
        <w:spacing w:after="60"/>
      </w:pPr>
      <w:r>
        <w:t>Un simple clone de WhatsApp ou Discord.</w:t>
      </w:r>
    </w:p>
    <w:p>
      <w:pPr>
        <w:pStyle w:val="ListBullet"/>
        <w:spacing w:after="60"/>
      </w:pPr>
      <w:r>
        <w:t>Un LMS universitaire classique.</w:t>
      </w:r>
    </w:p>
    <w:p>
      <w:pPr>
        <w:pStyle w:val="ListBullet"/>
        <w:spacing w:after="60"/>
      </w:pPr>
      <w:r>
        <w:t>Un simple dépôt de fichiers.</w:t>
      </w:r>
    </w:p>
    <w:p>
      <w:pPr>
        <w:pStyle w:val="ListBullet"/>
        <w:spacing w:after="60"/>
      </w:pPr>
      <w:r>
        <w:t>Un simple portail administratif.</w:t>
      </w:r>
    </w:p>
    <w:p>
      <w:pPr>
        <w:pStyle w:val="ListBullet"/>
        <w:spacing w:after="60"/>
      </w:pPr>
      <w:r>
        <w:t>Un nouveau système d’inscription ou d’orientation en remplacement de services institutionnels existants.</w:t>
      </w:r>
    </w:p>
    <w:p>
      <w:pPr>
        <w:pStyle w:val="ListBullet"/>
        <w:spacing w:after="60"/>
      </w:pPr>
      <w:r>
        <w:t>Un agrégateur aveugle de contenus provenant de toutes les sources.</w:t>
      </w:r>
    </w:p>
    <w:p>
      <w:pPr>
        <w:pStyle w:val="ListBullet"/>
        <w:spacing w:after="60"/>
      </w:pPr>
      <w:r>
        <w:t>Une plateforme centrée sur une seule ville au lieu des contextes institutionnels.</w:t>
      </w:r>
    </w:p>
    <w:p>
      <w:pPr>
        <w:pStyle w:val="ListBullet"/>
        <w:spacing w:after="60"/>
      </w:pPr>
      <w:r>
        <w:t>Une collection indépendante de groupes sans continuité documentaire ou institutionnelle.</w:t>
      </w:r>
    </w:p>
    <w:p>
      <w:r>
        <w:t>Ces phrases sont des frontières de réflexion, pas des interdictions techniques futures.</w:t>
      </w:r>
    </w:p>
    <w:p>
      <w:pPr>
        <w:pStyle w:val="Heading1"/>
      </w:pPr>
      <w:r>
        <w:t>17. Possibilités étudiées et variantes à conserver ouvertes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1F3751"/>
            <w:vAlign w:val="center"/>
          </w:tcPr>
          <w:p>
            <w:r/>
            <w:r>
              <w:rPr>
                <w:rFonts w:ascii="Aptos" w:hAnsi="Aptos"/>
                <w:b/>
                <w:color w:val="FFFFFF"/>
                <w:sz w:val="18"/>
              </w:rPr>
              <w:t>Sujet</w:t>
            </w:r>
          </w:p>
        </w:tc>
        <w:tc>
          <w:tcPr>
            <w:tcW w:type="dxa" w:w="2448"/>
            <w:shd w:fill="1F3751"/>
            <w:vAlign w:val="center"/>
          </w:tcPr>
          <w:p>
            <w:r/>
            <w:r>
              <w:rPr>
                <w:rFonts w:ascii="Aptos" w:hAnsi="Aptos"/>
                <w:b/>
                <w:color w:val="FFFFFF"/>
                <w:sz w:val="18"/>
              </w:rPr>
              <w:t>Possibilité 1</w:t>
            </w:r>
          </w:p>
        </w:tc>
        <w:tc>
          <w:tcPr>
            <w:tcW w:type="dxa" w:w="2448"/>
            <w:shd w:fill="1F3751"/>
            <w:vAlign w:val="center"/>
          </w:tcPr>
          <w:p>
            <w:r/>
            <w:r>
              <w:rPr>
                <w:rFonts w:ascii="Aptos" w:hAnsi="Aptos"/>
                <w:b/>
                <w:color w:val="FFFFFF"/>
                <w:sz w:val="18"/>
              </w:rPr>
              <w:t>Possibilité 2</w:t>
            </w:r>
          </w:p>
        </w:tc>
        <w:tc>
          <w:tcPr>
            <w:tcW w:type="dxa" w:w="2448"/>
            <w:shd w:fill="1F3751"/>
            <w:vAlign w:val="center"/>
          </w:tcPr>
          <w:p>
            <w:r/>
            <w:r>
              <w:rPr>
                <w:rFonts w:ascii="Aptos" w:hAnsi="Aptos"/>
                <w:b/>
                <w:color w:val="FFFFFF"/>
                <w:sz w:val="18"/>
              </w:rPr>
              <w:t>Possibilité 3 / ouverture</w:t>
            </w:r>
          </w:p>
        </w:tc>
      </w:tr>
      <w:tr>
        <w:trPr>
          <w:cantSplit/>
        </w:trPr>
        <w:tc>
          <w:tcPr>
            <w:tcW w:type="dxa" w:w="2448"/>
            <w:vAlign w:val="center"/>
          </w:tcPr>
          <w:p>
            <w:r/>
            <w:r>
              <w:rPr>
                <w:rFonts w:ascii="Aptos" w:hAnsi="Aptos"/>
                <w:b w:val="0"/>
                <w:color w:val="333333"/>
                <w:sz w:val="18"/>
              </w:rPr>
              <w:t>Structure temporelle</w:t>
            </w:r>
          </w:p>
        </w:tc>
        <w:tc>
          <w:tcPr>
            <w:tcW w:type="dxa" w:w="2448"/>
            <w:vAlign w:val="center"/>
          </w:tcPr>
          <w:p>
            <w:r/>
            <w:r>
              <w:rPr>
                <w:rFonts w:ascii="Aptos" w:hAnsi="Aptos"/>
                <w:b w:val="0"/>
                <w:color w:val="333333"/>
                <w:sz w:val="18"/>
              </w:rPr>
              <w:t>Contexte permanent</w:t>
            </w:r>
          </w:p>
        </w:tc>
        <w:tc>
          <w:tcPr>
            <w:tcW w:type="dxa" w:w="2448"/>
            <w:vAlign w:val="center"/>
          </w:tcPr>
          <w:p>
            <w:r/>
            <w:r>
              <w:rPr>
                <w:rFonts w:ascii="Aptos" w:hAnsi="Aptos"/>
                <w:b w:val="0"/>
                <w:color w:val="333333"/>
                <w:sz w:val="18"/>
              </w:rPr>
              <w:t>Contexte par promotion</w:t>
            </w:r>
          </w:p>
        </w:tc>
        <w:tc>
          <w:tcPr>
            <w:tcW w:type="dxa" w:w="2448"/>
            <w:vAlign w:val="center"/>
          </w:tcPr>
          <w:p>
            <w:r/>
            <w:r>
              <w:rPr>
                <w:rFonts w:ascii="Aptos" w:hAnsi="Aptos"/>
                <w:b w:val="0"/>
                <w:color w:val="333333"/>
                <w:sz w:val="18"/>
              </w:rPr>
              <w:t>Hybride</w:t>
            </w:r>
          </w:p>
        </w:tc>
      </w:tr>
      <w:tr>
        <w:trPr>
          <w:cantSplit/>
        </w:trPr>
        <w:tc>
          <w:tcPr>
            <w:tcW w:type="dxa" w:w="2448"/>
            <w:vAlign w:val="center"/>
          </w:tcPr>
          <w:p>
            <w:r/>
            <w:r>
              <w:rPr>
                <w:rFonts w:ascii="Aptos" w:hAnsi="Aptos"/>
                <w:b w:val="0"/>
                <w:color w:val="333333"/>
                <w:sz w:val="18"/>
              </w:rPr>
              <w:t>Relations institutionnelles</w:t>
            </w:r>
          </w:p>
        </w:tc>
        <w:tc>
          <w:tcPr>
            <w:tcW w:type="dxa" w:w="2448"/>
            <w:vAlign w:val="center"/>
          </w:tcPr>
          <w:p>
            <w:r/>
            <w:r>
              <w:rPr>
                <w:rFonts w:ascii="Aptos" w:hAnsi="Aptos"/>
                <w:b w:val="0"/>
                <w:color w:val="333333"/>
                <w:sz w:val="18"/>
              </w:rPr>
              <w:t>Centralisées</w:t>
            </w:r>
          </w:p>
        </w:tc>
        <w:tc>
          <w:tcPr>
            <w:tcW w:type="dxa" w:w="2448"/>
            <w:vAlign w:val="center"/>
          </w:tcPr>
          <w:p>
            <w:r/>
            <w:r>
              <w:rPr>
                <w:rFonts w:ascii="Aptos" w:hAnsi="Aptos"/>
                <w:b w:val="0"/>
                <w:color w:val="333333"/>
                <w:sz w:val="18"/>
              </w:rPr>
              <w:t>Fédérées / distribuées</w:t>
            </w:r>
          </w:p>
        </w:tc>
        <w:tc>
          <w:tcPr>
            <w:tcW w:type="dxa" w:w="2448"/>
            <w:vAlign w:val="center"/>
          </w:tcPr>
          <w:p>
            <w:r/>
            <w:r>
              <w:rPr>
                <w:rFonts w:ascii="Aptos" w:hAnsi="Aptos"/>
                <w:b w:val="0"/>
                <w:color w:val="333333"/>
                <w:sz w:val="18"/>
              </w:rPr>
              <w:t>Modèle mixte à étudier</w:t>
            </w:r>
          </w:p>
        </w:tc>
      </w:tr>
      <w:tr>
        <w:trPr>
          <w:cantSplit/>
        </w:trPr>
        <w:tc>
          <w:tcPr>
            <w:tcW w:type="dxa" w:w="2448"/>
            <w:vAlign w:val="center"/>
          </w:tcPr>
          <w:p>
            <w:r/>
            <w:r>
              <w:rPr>
                <w:rFonts w:ascii="Aptos" w:hAnsi="Aptos"/>
                <w:b w:val="0"/>
                <w:color w:val="333333"/>
                <w:sz w:val="18"/>
              </w:rPr>
              <w:t>Documents</w:t>
            </w:r>
          </w:p>
        </w:tc>
        <w:tc>
          <w:tcPr>
            <w:tcW w:type="dxa" w:w="2448"/>
            <w:vAlign w:val="center"/>
          </w:tcPr>
          <w:p>
            <w:r/>
            <w:r>
              <w:rPr>
                <w:rFonts w:ascii="Aptos" w:hAnsi="Aptos"/>
                <w:b w:val="0"/>
                <w:color w:val="333333"/>
                <w:sz w:val="18"/>
              </w:rPr>
              <w:t>Stockage durable central</w:t>
            </w:r>
          </w:p>
        </w:tc>
        <w:tc>
          <w:tcPr>
            <w:tcW w:type="dxa" w:w="2448"/>
            <w:vAlign w:val="center"/>
          </w:tcPr>
          <w:p>
            <w:r/>
            <w:r>
              <w:rPr>
                <w:rFonts w:ascii="Aptos" w:hAnsi="Aptos"/>
                <w:b w:val="0"/>
                <w:color w:val="333333"/>
                <w:sz w:val="18"/>
              </w:rPr>
              <w:t>Référencement de ressources externes</w:t>
            </w:r>
          </w:p>
        </w:tc>
        <w:tc>
          <w:tcPr>
            <w:tcW w:type="dxa" w:w="2448"/>
            <w:vAlign w:val="center"/>
          </w:tcPr>
          <w:p>
            <w:r/>
            <w:r>
              <w:rPr>
                <w:rFonts w:ascii="Aptos" w:hAnsi="Aptos"/>
                <w:b w:val="0"/>
                <w:color w:val="333333"/>
                <w:sz w:val="18"/>
              </w:rPr>
              <w:t>Modèle mixte</w:t>
            </w:r>
          </w:p>
        </w:tc>
      </w:tr>
      <w:tr>
        <w:trPr>
          <w:cantSplit/>
        </w:trPr>
        <w:tc>
          <w:tcPr>
            <w:tcW w:type="dxa" w:w="2448"/>
            <w:vAlign w:val="center"/>
          </w:tcPr>
          <w:p>
            <w:r/>
            <w:r>
              <w:rPr>
                <w:rFonts w:ascii="Aptos" w:hAnsi="Aptos"/>
                <w:b w:val="0"/>
                <w:color w:val="333333"/>
                <w:sz w:val="18"/>
              </w:rPr>
              <w:t>Communautés</w:t>
            </w:r>
          </w:p>
        </w:tc>
        <w:tc>
          <w:tcPr>
            <w:tcW w:type="dxa" w:w="2448"/>
            <w:vAlign w:val="center"/>
          </w:tcPr>
          <w:p>
            <w:r/>
            <w:r>
              <w:rPr>
                <w:rFonts w:ascii="Aptos" w:hAnsi="Aptos"/>
                <w:b w:val="0"/>
                <w:color w:val="333333"/>
                <w:sz w:val="18"/>
              </w:rPr>
              <w:t>Institutionnelles</w:t>
            </w:r>
          </w:p>
        </w:tc>
        <w:tc>
          <w:tcPr>
            <w:tcW w:type="dxa" w:w="2448"/>
            <w:vAlign w:val="center"/>
          </w:tcPr>
          <w:p>
            <w:r/>
            <w:r>
              <w:rPr>
                <w:rFonts w:ascii="Aptos" w:hAnsi="Aptos"/>
                <w:b w:val="0"/>
                <w:color w:val="333333"/>
                <w:sz w:val="18"/>
              </w:rPr>
              <w:t>Transversales</w:t>
            </w:r>
          </w:p>
        </w:tc>
        <w:tc>
          <w:tcPr>
            <w:tcW w:type="dxa" w:w="2448"/>
            <w:vAlign w:val="center"/>
          </w:tcPr>
          <w:p>
            <w:r/>
            <w:r>
              <w:rPr>
                <w:rFonts w:ascii="Aptos" w:hAnsi="Aptos"/>
                <w:b w:val="0"/>
                <w:color w:val="333333"/>
                <w:sz w:val="18"/>
              </w:rPr>
              <w:t>Combinées</w:t>
            </w:r>
          </w:p>
        </w:tc>
      </w:tr>
      <w:tr>
        <w:trPr>
          <w:cantSplit/>
        </w:trPr>
        <w:tc>
          <w:tcPr>
            <w:tcW w:type="dxa" w:w="2448"/>
            <w:vAlign w:val="center"/>
          </w:tcPr>
          <w:p>
            <w:r/>
            <w:r>
              <w:rPr>
                <w:rFonts w:ascii="Aptos" w:hAnsi="Aptos"/>
                <w:b w:val="0"/>
                <w:color w:val="333333"/>
                <w:sz w:val="18"/>
              </w:rPr>
              <w:t>Identité</w:t>
            </w:r>
          </w:p>
        </w:tc>
        <w:tc>
          <w:tcPr>
            <w:tcW w:type="dxa" w:w="2448"/>
            <w:vAlign w:val="center"/>
          </w:tcPr>
          <w:p>
            <w:r/>
            <w:r>
              <w:rPr>
                <w:rFonts w:ascii="Aptos" w:hAnsi="Aptos"/>
                <w:b w:val="0"/>
                <w:color w:val="333333"/>
                <w:sz w:val="18"/>
              </w:rPr>
              <w:t>Référentiel institutionnel</w:t>
            </w:r>
          </w:p>
        </w:tc>
        <w:tc>
          <w:tcPr>
            <w:tcW w:type="dxa" w:w="2448"/>
            <w:vAlign w:val="center"/>
          </w:tcPr>
          <w:p>
            <w:r/>
            <w:r>
              <w:rPr>
                <w:rFonts w:ascii="Aptos" w:hAnsi="Aptos"/>
                <w:b w:val="0"/>
                <w:color w:val="333333"/>
                <w:sz w:val="18"/>
              </w:rPr>
              <w:t>Interopération avec une source nationale</w:t>
            </w:r>
          </w:p>
        </w:tc>
        <w:tc>
          <w:tcPr>
            <w:tcW w:type="dxa" w:w="2448"/>
            <w:vAlign w:val="center"/>
          </w:tcPr>
          <w:p>
            <w:r/>
            <w:r>
              <w:rPr>
                <w:rFonts w:ascii="Aptos" w:hAnsi="Aptos"/>
                <w:b w:val="0"/>
                <w:color w:val="333333"/>
                <w:sz w:val="18"/>
              </w:rPr>
              <w:t>Approche progressive</w:t>
            </w:r>
          </w:p>
        </w:tc>
      </w:tr>
      <w:tr>
        <w:trPr>
          <w:cantSplit/>
        </w:trPr>
        <w:tc>
          <w:tcPr>
            <w:tcW w:type="dxa" w:w="2448"/>
            <w:vAlign w:val="center"/>
          </w:tcPr>
          <w:p>
            <w:r/>
            <w:r>
              <w:rPr>
                <w:rFonts w:ascii="Aptos" w:hAnsi="Aptos"/>
                <w:b w:val="0"/>
                <w:color w:val="333333"/>
                <w:sz w:val="18"/>
              </w:rPr>
              <w:t>Publics</w:t>
            </w:r>
          </w:p>
        </w:tc>
        <w:tc>
          <w:tcPr>
            <w:tcW w:type="dxa" w:w="2448"/>
            <w:vAlign w:val="center"/>
          </w:tcPr>
          <w:p>
            <w:r/>
            <w:r>
              <w:rPr>
                <w:rFonts w:ascii="Aptos" w:hAnsi="Aptos"/>
                <w:b w:val="0"/>
                <w:color w:val="333333"/>
                <w:sz w:val="18"/>
              </w:rPr>
              <w:t>Étudiants uniquement</w:t>
            </w:r>
          </w:p>
        </w:tc>
        <w:tc>
          <w:tcPr>
            <w:tcW w:type="dxa" w:w="2448"/>
            <w:vAlign w:val="center"/>
          </w:tcPr>
          <w:p>
            <w:r/>
            <w:r>
              <w:rPr>
                <w:rFonts w:ascii="Aptos" w:hAnsi="Aptos"/>
                <w:b w:val="0"/>
                <w:color w:val="333333"/>
                <w:sz w:val="18"/>
              </w:rPr>
              <w:t>Étudiants + transition lycée</w:t>
            </w:r>
          </w:p>
        </w:tc>
        <w:tc>
          <w:tcPr>
            <w:tcW w:type="dxa" w:w="2448"/>
            <w:vAlign w:val="center"/>
          </w:tcPr>
          <w:p>
            <w:r/>
            <w:r>
              <w:rPr>
                <w:rFonts w:ascii="Aptos" w:hAnsi="Aptos"/>
                <w:b w:val="0"/>
                <w:color w:val="333333"/>
                <w:sz w:val="18"/>
              </w:rPr>
              <w:t>Cycle plus large à étudier</w:t>
            </w:r>
          </w:p>
        </w:tc>
      </w:tr>
      <w:tr>
        <w:trPr>
          <w:cantSplit/>
        </w:trPr>
        <w:tc>
          <w:tcPr>
            <w:tcW w:type="dxa" w:w="2448"/>
            <w:vAlign w:val="center"/>
          </w:tcPr>
          <w:p>
            <w:r/>
            <w:r>
              <w:rPr>
                <w:rFonts w:ascii="Aptos" w:hAnsi="Aptos"/>
                <w:b w:val="0"/>
                <w:color w:val="333333"/>
                <w:sz w:val="18"/>
              </w:rPr>
              <w:t>Connaissance</w:t>
            </w:r>
          </w:p>
        </w:tc>
        <w:tc>
          <w:tcPr>
            <w:tcW w:type="dxa" w:w="2448"/>
            <w:vAlign w:val="center"/>
          </w:tcPr>
          <w:p>
            <w:r/>
            <w:r>
              <w:rPr>
                <w:rFonts w:ascii="Aptos" w:hAnsi="Aptos"/>
                <w:b w:val="0"/>
                <w:color w:val="333333"/>
                <w:sz w:val="18"/>
              </w:rPr>
              <w:t>Fichiers</w:t>
            </w:r>
          </w:p>
        </w:tc>
        <w:tc>
          <w:tcPr>
            <w:tcW w:type="dxa" w:w="2448"/>
            <w:vAlign w:val="center"/>
          </w:tcPr>
          <w:p>
            <w:r/>
            <w:r>
              <w:rPr>
                <w:rFonts w:ascii="Aptos" w:hAnsi="Aptos"/>
                <w:b w:val="0"/>
                <w:color w:val="333333"/>
                <w:sz w:val="18"/>
              </w:rPr>
              <w:t>Unités de connaissance</w:t>
            </w:r>
          </w:p>
        </w:tc>
        <w:tc>
          <w:tcPr>
            <w:tcW w:type="dxa" w:w="2448"/>
            <w:vAlign w:val="center"/>
          </w:tcPr>
          <w:p>
            <w:r/>
            <w:r>
              <w:rPr>
                <w:rFonts w:ascii="Aptos" w:hAnsi="Aptos"/>
                <w:b w:val="0"/>
                <w:color w:val="333333"/>
                <w:sz w:val="18"/>
              </w:rPr>
              <w:t>Graphe de ressources</w:t>
            </w:r>
          </w:p>
        </w:tc>
      </w:tr>
      <w:tr>
        <w:trPr>
          <w:cantSplit/>
        </w:trPr>
        <w:tc>
          <w:tcPr>
            <w:tcW w:type="dxa" w:w="2448"/>
            <w:vAlign w:val="center"/>
          </w:tcPr>
          <w:p>
            <w:r/>
            <w:r>
              <w:rPr>
                <w:rFonts w:ascii="Aptos" w:hAnsi="Aptos"/>
                <w:b w:val="0"/>
                <w:color w:val="333333"/>
                <w:sz w:val="18"/>
              </w:rPr>
              <w:t>Spécialisation</w:t>
            </w:r>
          </w:p>
        </w:tc>
        <w:tc>
          <w:tcPr>
            <w:tcW w:type="dxa" w:w="2448"/>
            <w:vAlign w:val="center"/>
          </w:tcPr>
          <w:p>
            <w:r/>
            <w:r>
              <w:rPr>
                <w:rFonts w:ascii="Aptos" w:hAnsi="Aptos"/>
                <w:b w:val="0"/>
                <w:color w:val="333333"/>
                <w:sz w:val="18"/>
              </w:rPr>
              <w:t>Fonctions communes</w:t>
            </w:r>
          </w:p>
        </w:tc>
        <w:tc>
          <w:tcPr>
            <w:tcW w:type="dxa" w:w="2448"/>
            <w:vAlign w:val="center"/>
          </w:tcPr>
          <w:p>
            <w:r/>
            <w:r>
              <w:rPr>
                <w:rFonts w:ascii="Aptos" w:hAnsi="Aptos"/>
                <w:b w:val="0"/>
                <w:color w:val="333333"/>
                <w:sz w:val="18"/>
              </w:rPr>
              <w:t>Modules disciplinaires</w:t>
            </w:r>
          </w:p>
        </w:tc>
        <w:tc>
          <w:tcPr>
            <w:tcW w:type="dxa" w:w="2448"/>
            <w:vAlign w:val="center"/>
          </w:tcPr>
          <w:p>
            <w:r/>
            <w:r>
              <w:rPr>
                <w:rFonts w:ascii="Aptos" w:hAnsi="Aptos"/>
                <w:b w:val="0"/>
                <w:color w:val="333333"/>
                <w:sz w:val="18"/>
              </w:rPr>
              <w:t>Écosystèmes spécialisés</w:t>
            </w:r>
          </w:p>
        </w:tc>
      </w:tr>
    </w:tbl>
    <w:p/>
    <w:p>
      <w:r>
        <w:t>Le rôle de cette matrice est de conserver les options en mémoire avant les études ; elle ne sélectionne aucune option.</w:t>
      </w:r>
    </w:p>
    <w:p>
      <w:pPr>
        <w:pStyle w:val="Heading1"/>
      </w:pPr>
      <w:r>
        <w:t>18. Hypothèses de valeur et de rupture à instruire</w:t>
      </w:r>
    </w:p>
    <w:p>
      <w:r>
        <w:t>La doctrine Zero-to-One demande de rechercher une rupture réelle et une position durable plutôt qu’une simple amélioration marginale. Dans le présent projet, plusieurs hypothèses peuvent être examinées :</w:t>
      </w:r>
    </w:p>
    <w:p>
      <w:pPr>
        <w:pStyle w:val="ListBullet"/>
        <w:spacing w:after="60"/>
      </w:pPr>
      <w:r>
        <w:t>La valeur pourrait venir de la formalisation d’un usage déjà massif mais organisé informellement.</w:t>
      </w:r>
    </w:p>
    <w:p>
      <w:pPr>
        <w:pStyle w:val="ListBullet"/>
        <w:spacing w:after="60"/>
      </w:pPr>
      <w:r>
        <w:t>La valeur pourrait venir de la persistance des ressources au-delà du cycle de vie d’un téléphone, d’un groupe ou d’une promotion.</w:t>
      </w:r>
    </w:p>
    <w:p>
      <w:pPr>
        <w:pStyle w:val="ListBullet"/>
        <w:spacing w:after="60"/>
      </w:pPr>
      <w:r>
        <w:t>La valeur pourrait venir de l’interconnexion des mêmes disciplines à travers plusieurs établissements.</w:t>
      </w:r>
    </w:p>
    <w:p>
      <w:pPr>
        <w:pStyle w:val="ListBullet"/>
        <w:spacing w:after="60"/>
      </w:pPr>
      <w:r>
        <w:t>La valeur pourrait venir du graphe des relations entre institutions, étudiants, formations, communautés et connaissances.</w:t>
      </w:r>
    </w:p>
    <w:p>
      <w:pPr>
        <w:pStyle w:val="ListBullet"/>
        <w:spacing w:after="60"/>
      </w:pPr>
      <w:r>
        <w:t>La valeur pourrait venir de la formalisation des rôles étudiants et des canaux de communication académique.</w:t>
      </w:r>
    </w:p>
    <w:p>
      <w:pPr>
        <w:pStyle w:val="ListBullet"/>
        <w:spacing w:after="60"/>
      </w:pPr>
      <w:r>
        <w:t>La valeur pourrait venir de la capacité à devenir progressivement une mémoire numérique de la vie académique, sans se limiter à la conversation du moment.</w:t>
      </w:r>
    </w:p>
    <w:p>
      <w:r>
        <w:t>Ces hypothèses doivent être confrontées à la valeur réellement reconnue par les étudiants et les établissements. Elles ne constituent pas encore un « secret » validé ni un actif indétrônable démontré.</w:t>
      </w:r>
    </w:p>
    <w:p>
      <w:pPr>
        <w:pStyle w:val="Heading1"/>
      </w:pPr>
      <w:r>
        <w:t>19. Principes Zero-to-One à examiner, sans conclusion</w:t>
      </w:r>
    </w:p>
    <w:p>
      <w:r>
        <w:t>Le cadre stratégique de référence impose l’examen des sept questions : ingénierie, timing, monopole, équipe, distribution, durabilité et secret. Il impose également deux critères non négociables : l’actif indétrônable et la valeur réelle incontestable. Pour ce document d’ouverture, ces éléments sont uniquement posés comme axes de recherche.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Axe</w:t>
            </w:r>
          </w:p>
        </w:tc>
        <w:tc>
          <w:tcPr>
            <w:tcW w:type="dxa" w:w="4896"/>
            <w:shd w:fill="1F3751"/>
            <w:vAlign w:val="center"/>
          </w:tcPr>
          <w:p>
            <w:r/>
            <w:r>
              <w:rPr>
                <w:rFonts w:ascii="Aptos" w:hAnsi="Aptos"/>
                <w:b/>
                <w:color w:val="FFFFFF"/>
                <w:sz w:val="18"/>
              </w:rPr>
              <w:t>Question ouverte</w:t>
            </w:r>
          </w:p>
        </w:tc>
      </w:tr>
      <w:tr>
        <w:trPr>
          <w:cantSplit/>
        </w:trPr>
        <w:tc>
          <w:tcPr>
            <w:tcW w:type="dxa" w:w="4896"/>
            <w:vAlign w:val="center"/>
          </w:tcPr>
          <w:p>
            <w:r/>
            <w:r>
              <w:rPr>
                <w:rFonts w:ascii="Aptos" w:hAnsi="Aptos"/>
                <w:b w:val="0"/>
                <w:color w:val="333333"/>
                <w:sz w:val="18"/>
              </w:rPr>
              <w:t>Ingénierie / rupture</w:t>
            </w:r>
          </w:p>
        </w:tc>
        <w:tc>
          <w:tcPr>
            <w:tcW w:type="dxa" w:w="4896"/>
            <w:vAlign w:val="center"/>
          </w:tcPr>
          <w:p>
            <w:r/>
            <w:r>
              <w:rPr>
                <w:rFonts w:ascii="Aptos" w:hAnsi="Aptos"/>
                <w:b w:val="0"/>
                <w:color w:val="333333"/>
                <w:sz w:val="18"/>
              </w:rPr>
              <w:t>Qu’est-ce qui serait réellement nouveau par rapport à WhatsApp, Discord, LMS, portails et plateformes documentaires ?</w:t>
            </w:r>
          </w:p>
        </w:tc>
      </w:tr>
      <w:tr>
        <w:trPr>
          <w:cantSplit/>
        </w:trPr>
        <w:tc>
          <w:tcPr>
            <w:tcW w:type="dxa" w:w="4896"/>
            <w:vAlign w:val="center"/>
          </w:tcPr>
          <w:p>
            <w:r/>
            <w:r>
              <w:rPr>
                <w:rFonts w:ascii="Aptos" w:hAnsi="Aptos"/>
                <w:b w:val="0"/>
                <w:color w:val="333333"/>
                <w:sz w:val="18"/>
              </w:rPr>
              <w:t>Timing</w:t>
            </w:r>
          </w:p>
        </w:tc>
        <w:tc>
          <w:tcPr>
            <w:tcW w:type="dxa" w:w="4896"/>
            <w:vAlign w:val="center"/>
          </w:tcPr>
          <w:p>
            <w:r/>
            <w:r>
              <w:rPr>
                <w:rFonts w:ascii="Aptos" w:hAnsi="Aptos"/>
                <w:b w:val="0"/>
                <w:color w:val="333333"/>
                <w:sz w:val="18"/>
              </w:rPr>
              <w:t>Pourquoi ce monde numérique serait-il particulièrement pertinent maintenant au Burkina Faso ?</w:t>
            </w:r>
          </w:p>
        </w:tc>
      </w:tr>
      <w:tr>
        <w:trPr>
          <w:cantSplit/>
        </w:trPr>
        <w:tc>
          <w:tcPr>
            <w:tcW w:type="dxa" w:w="4896"/>
            <w:vAlign w:val="center"/>
          </w:tcPr>
          <w:p>
            <w:r/>
            <w:r>
              <w:rPr>
                <w:rFonts w:ascii="Aptos" w:hAnsi="Aptos"/>
                <w:b w:val="0"/>
                <w:color w:val="333333"/>
                <w:sz w:val="18"/>
              </w:rPr>
              <w:t>Monopole / position</w:t>
            </w:r>
          </w:p>
        </w:tc>
        <w:tc>
          <w:tcPr>
            <w:tcW w:type="dxa" w:w="4896"/>
            <w:vAlign w:val="center"/>
          </w:tcPr>
          <w:p>
            <w:r/>
            <w:r>
              <w:rPr>
                <w:rFonts w:ascii="Aptos" w:hAnsi="Aptos"/>
                <w:b w:val="0"/>
                <w:color w:val="333333"/>
                <w:sz w:val="18"/>
              </w:rPr>
              <w:t>Existe-t-il un petit marché initial sur lequel l’écosystème pourrait devenir incontournable sans chercher à couvrir tout le monde immédiatement ?</w:t>
            </w:r>
          </w:p>
        </w:tc>
      </w:tr>
      <w:tr>
        <w:trPr>
          <w:cantSplit/>
        </w:trPr>
        <w:tc>
          <w:tcPr>
            <w:tcW w:type="dxa" w:w="4896"/>
            <w:vAlign w:val="center"/>
          </w:tcPr>
          <w:p>
            <w:r/>
            <w:r>
              <w:rPr>
                <w:rFonts w:ascii="Aptos" w:hAnsi="Aptos"/>
                <w:b w:val="0"/>
                <w:color w:val="333333"/>
                <w:sz w:val="18"/>
              </w:rPr>
              <w:t>Équipe</w:t>
            </w:r>
          </w:p>
        </w:tc>
        <w:tc>
          <w:tcPr>
            <w:tcW w:type="dxa" w:w="4896"/>
            <w:vAlign w:val="center"/>
          </w:tcPr>
          <w:p>
            <w:r/>
            <w:r>
              <w:rPr>
                <w:rFonts w:ascii="Aptos" w:hAnsi="Aptos"/>
                <w:b w:val="0"/>
                <w:color w:val="333333"/>
                <w:sz w:val="18"/>
              </w:rPr>
              <w:t>Quelles compétences sont réellement nécessaires pour comprendre le terrain, construire, déployer et gouverner un tel système ?</w:t>
            </w:r>
          </w:p>
        </w:tc>
      </w:tr>
      <w:tr>
        <w:trPr>
          <w:cantSplit/>
        </w:trPr>
        <w:tc>
          <w:tcPr>
            <w:tcW w:type="dxa" w:w="4896"/>
            <w:vAlign w:val="center"/>
          </w:tcPr>
          <w:p>
            <w:r/>
            <w:r>
              <w:rPr>
                <w:rFonts w:ascii="Aptos" w:hAnsi="Aptos"/>
                <w:b w:val="0"/>
                <w:color w:val="333333"/>
                <w:sz w:val="18"/>
              </w:rPr>
              <w:t>Distribution</w:t>
            </w:r>
          </w:p>
        </w:tc>
        <w:tc>
          <w:tcPr>
            <w:tcW w:type="dxa" w:w="4896"/>
            <w:vAlign w:val="center"/>
          </w:tcPr>
          <w:p>
            <w:r/>
            <w:r>
              <w:rPr>
                <w:rFonts w:ascii="Aptos" w:hAnsi="Aptos"/>
                <w:b w:val="0"/>
                <w:color w:val="333333"/>
                <w:sz w:val="18"/>
              </w:rPr>
              <w:t>Comment atteindre établissements, délégués, étudiants, lycéens et communautés sans créer une friction d’adoption excessive ?</w:t>
            </w:r>
          </w:p>
        </w:tc>
      </w:tr>
      <w:tr>
        <w:trPr>
          <w:cantSplit/>
        </w:trPr>
        <w:tc>
          <w:tcPr>
            <w:tcW w:type="dxa" w:w="4896"/>
            <w:vAlign w:val="center"/>
          </w:tcPr>
          <w:p>
            <w:r/>
            <w:r>
              <w:rPr>
                <w:rFonts w:ascii="Aptos" w:hAnsi="Aptos"/>
                <w:b w:val="0"/>
                <w:color w:val="333333"/>
                <w:sz w:val="18"/>
              </w:rPr>
              <w:t>Durabilité</w:t>
            </w:r>
          </w:p>
        </w:tc>
        <w:tc>
          <w:tcPr>
            <w:tcW w:type="dxa" w:w="4896"/>
            <w:vAlign w:val="center"/>
          </w:tcPr>
          <w:p>
            <w:r/>
            <w:r>
              <w:rPr>
                <w:rFonts w:ascii="Aptos" w:hAnsi="Aptos"/>
                <w:b w:val="0"/>
                <w:color w:val="333333"/>
                <w:sz w:val="18"/>
              </w:rPr>
              <w:t>Quels mécanismes permettraient au système de rester utile sur 10 à 20 ans malgré les changements de promotions, technologies et usages ?</w:t>
            </w:r>
          </w:p>
        </w:tc>
      </w:tr>
      <w:tr>
        <w:trPr>
          <w:cantSplit/>
        </w:trPr>
        <w:tc>
          <w:tcPr>
            <w:tcW w:type="dxa" w:w="4896"/>
            <w:vAlign w:val="center"/>
          </w:tcPr>
          <w:p>
            <w:r/>
            <w:r>
              <w:rPr>
                <w:rFonts w:ascii="Aptos" w:hAnsi="Aptos"/>
                <w:b w:val="0"/>
                <w:color w:val="333333"/>
                <w:sz w:val="18"/>
              </w:rPr>
              <w:t>Secret</w:t>
            </w:r>
          </w:p>
        </w:tc>
        <w:tc>
          <w:tcPr>
            <w:tcW w:type="dxa" w:w="4896"/>
            <w:vAlign w:val="center"/>
          </w:tcPr>
          <w:p>
            <w:r/>
            <w:r>
              <w:rPr>
                <w:rFonts w:ascii="Aptos" w:hAnsi="Aptos"/>
                <w:b w:val="0"/>
                <w:color w:val="333333"/>
                <w:sz w:val="18"/>
              </w:rPr>
              <w:t>Quelle vérité ou opportunité spécifique au contexte burkinabè est insuffisamment reconnue aujourd’hui ?</w:t>
            </w:r>
          </w:p>
        </w:tc>
      </w:tr>
      <w:tr>
        <w:trPr>
          <w:cantSplit/>
        </w:trPr>
        <w:tc>
          <w:tcPr>
            <w:tcW w:type="dxa" w:w="4896"/>
            <w:vAlign w:val="center"/>
          </w:tcPr>
          <w:p>
            <w:r/>
            <w:r>
              <w:rPr>
                <w:rFonts w:ascii="Aptos" w:hAnsi="Aptos"/>
                <w:b w:val="0"/>
                <w:color w:val="333333"/>
                <w:sz w:val="18"/>
              </w:rPr>
              <w:t>Actif indétrônable</w:t>
            </w:r>
          </w:p>
        </w:tc>
        <w:tc>
          <w:tcPr>
            <w:tcW w:type="dxa" w:w="4896"/>
            <w:vAlign w:val="center"/>
          </w:tcPr>
          <w:p>
            <w:r/>
            <w:r>
              <w:rPr>
                <w:rFonts w:ascii="Aptos" w:hAnsi="Aptos"/>
                <w:b w:val="0"/>
                <w:color w:val="333333"/>
                <w:sz w:val="18"/>
              </w:rPr>
              <w:t>Quel actif structurel pourrait devenir difficile à copier ou à remplacer ?</w:t>
            </w:r>
          </w:p>
        </w:tc>
      </w:tr>
      <w:tr>
        <w:trPr>
          <w:cantSplit/>
        </w:trPr>
        <w:tc>
          <w:tcPr>
            <w:tcW w:type="dxa" w:w="4896"/>
            <w:vAlign w:val="center"/>
          </w:tcPr>
          <w:p>
            <w:r/>
            <w:r>
              <w:rPr>
                <w:rFonts w:ascii="Aptos" w:hAnsi="Aptos"/>
                <w:b w:val="0"/>
                <w:color w:val="333333"/>
                <w:sz w:val="18"/>
              </w:rPr>
              <w:t>Valeur incontestable</w:t>
            </w:r>
          </w:p>
        </w:tc>
        <w:tc>
          <w:tcPr>
            <w:tcW w:type="dxa" w:w="4896"/>
            <w:vAlign w:val="center"/>
          </w:tcPr>
          <w:p>
            <w:r/>
            <w:r>
              <w:rPr>
                <w:rFonts w:ascii="Aptos" w:hAnsi="Aptos"/>
                <w:b w:val="0"/>
                <w:color w:val="333333"/>
                <w:sz w:val="18"/>
              </w:rPr>
              <w:t>Quel bénéfice mesurable les étudiants et/ou établissements reconnaîtraient-ils spontanément ?</w:t>
            </w:r>
          </w:p>
        </w:tc>
      </w:tr>
    </w:tbl>
    <w:p/>
    <w:p>
      <w:pPr>
        <w:pStyle w:val="Heading1"/>
      </w:pPr>
      <w:r>
        <w:t>20. Programme d’études approfondies</w:t>
      </w:r>
    </w:p>
    <w:p>
      <w:r>
        <w:t>Le présent document doit ouvrir un programme d’étude plutôt que provoquer une implémentation immédiate. Une trajectoire de recherche cohérente serait :</w:t>
      </w:r>
    </w:p>
    <w:p>
      <w:pPr>
        <w:spacing w:before="80" w:after="140"/>
        <w:ind w:left="288" w:right="288"/>
      </w:pPr>
      <w:r>
        <w:rPr>
          <w:rFonts w:ascii="Consolas" w:hAnsi="Consolas"/>
          <w:color w:val="333333"/>
          <w:sz w:val="17"/>
        </w:rPr>
        <w:t>INTENTION</w:t>
        <w:br/>
        <w:t xml:space="preserve">  v</w:t>
        <w:br/>
        <w:t>OBSERVATION DU TERRAIN ÉTUDIANT BURKINABÈ</w:t>
        <w:br/>
        <w:t xml:space="preserve">  v</w:t>
        <w:br/>
        <w:t>RECHERCHE SOCIALE / CULTURELLE</w:t>
        <w:br/>
        <w:t xml:space="preserve">  v</w:t>
        <w:br/>
        <w:t>RECHERCHE SUR LES ÉTABLISSEMENTS ET ORGANISATIONS ÉTUDIANTES</w:t>
        <w:br/>
        <w:t xml:space="preserve">  v</w:t>
        <w:br/>
        <w:t>RECHERCHE RÉGLEMENTAIRE / DONNÉES / IDENTITÉ</w:t>
        <w:br/>
        <w:t xml:space="preserve">  v</w:t>
        <w:br/>
        <w:t>BENCHMARK DES SOLUTIONS EXISTANTES</w:t>
        <w:br/>
        <w:t xml:space="preserve">  v</w:t>
        <w:br/>
        <w:t>ENTRETIENS ÉTUDIANTS / DÉLÉGUÉS / ADMINISTRATIONS / LYCÉENS</w:t>
        <w:br/>
        <w:t xml:space="preserve">  v</w:t>
        <w:br/>
        <w:t>CARTOGRAPHIE DES USAGES ACTUELS</w:t>
        <w:br/>
        <w:t xml:space="preserve">  v</w:t>
        <w:br/>
        <w:t>HYPOTHÈSES</w:t>
        <w:br/>
        <w:t xml:space="preserve">  v</w:t>
        <w:br/>
        <w:t>EXPÉRIMENTATIONS</w:t>
        <w:br/>
        <w:t xml:space="preserve">  v</w:t>
        <w:br/>
        <w:t>PREUVES DE VALEUR</w:t>
        <w:br/>
        <w:t xml:space="preserve">  v</w:t>
        <w:br/>
        <w:t>CADRAGE STRATÉGIQUE</w:t>
        <w:br/>
        <w:t xml:space="preserve">  v</w:t>
        <w:br/>
        <w:t>DDD STRATÉGIQUE</w:t>
        <w:br/>
        <w:t xml:space="preserve">  v</w:t>
        <w:br/>
        <w:t>ARCHITECTURE</w:t>
      </w:r>
    </w:p>
    <w:p>
      <w:pPr>
        <w:pStyle w:val="Heading2"/>
      </w:pPr>
      <w:r>
        <w:t>20.1. Axes de recherche recommandés</w:t>
      </w:r>
    </w:p>
    <w:p>
      <w:pPr>
        <w:pStyle w:val="ListBullet"/>
        <w:spacing w:after="60"/>
      </w:pPr>
      <w:r>
        <w:t>Cartographier les pratiques réelles de création, gestion et abandon des groupes étudiants.</w:t>
      </w:r>
    </w:p>
    <w:p>
      <w:pPr>
        <w:pStyle w:val="ListBullet"/>
        <w:spacing w:after="60"/>
      </w:pPr>
      <w:r>
        <w:t>Analyser les différences entre universités publiques, universités privées, grandes écoles et autres structures.</w:t>
      </w:r>
    </w:p>
    <w:p>
      <w:pPr>
        <w:pStyle w:val="ListBullet"/>
        <w:spacing w:after="60"/>
      </w:pPr>
      <w:r>
        <w:t>Observer le rôle réel des délégués, sous-délégués, responsables de classe, DA et autres relais.</w:t>
      </w:r>
    </w:p>
    <w:p>
      <w:pPr>
        <w:pStyle w:val="ListBullet"/>
        <w:spacing w:after="60"/>
      </w:pPr>
      <w:r>
        <w:t>Identifier les types de documents effectivement partagés et leur cycle de vie.</w:t>
      </w:r>
    </w:p>
    <w:p>
      <w:pPr>
        <w:pStyle w:val="ListBullet"/>
        <w:spacing w:after="60"/>
      </w:pPr>
      <w:r>
        <w:t>Mesurer les problèmes de perte, duplication, versionnement et retrouvabilité des ressources.</w:t>
      </w:r>
    </w:p>
    <w:p>
      <w:pPr>
        <w:pStyle w:val="ListBullet"/>
        <w:spacing w:after="60"/>
      </w:pPr>
      <w:r>
        <w:t>Comprendre comment les étudiants changent de téléphone, déplacent leurs fichiers et conservent leurs archives.</w:t>
      </w:r>
    </w:p>
    <w:p>
      <w:pPr>
        <w:pStyle w:val="ListBullet"/>
        <w:spacing w:after="60"/>
      </w:pPr>
      <w:r>
        <w:t>Analyser les pratiques de programmation académique et les modifications de dernière minute.</w:t>
      </w:r>
    </w:p>
    <w:p>
      <w:pPr>
        <w:pStyle w:val="ListBullet"/>
        <w:spacing w:after="60"/>
      </w:pPr>
      <w:r>
        <w:t>Comprendre le rôle des communautés inter-filières et inter-universités.</w:t>
      </w:r>
    </w:p>
    <w:p>
      <w:pPr>
        <w:pStyle w:val="ListBullet"/>
        <w:spacing w:after="60"/>
      </w:pPr>
      <w:r>
        <w:t>Comparer les outils réellement utilisés, pas uniquement les outils techniquement disponibles.</w:t>
      </w:r>
    </w:p>
    <w:p>
      <w:pPr>
        <w:pStyle w:val="ListBullet"/>
        <w:spacing w:after="60"/>
      </w:pPr>
      <w:r>
        <w:t>Examiner les mécanismes d’identité, d’appartenance et de vérification institutionnelle.</w:t>
      </w:r>
    </w:p>
    <w:p>
      <w:pPr>
        <w:pStyle w:val="ListBullet"/>
        <w:spacing w:after="60"/>
      </w:pPr>
      <w:r>
        <w:t>Explorer la transition lycée -&gt; baccalauréat -&gt; enseignement supérieur.</w:t>
      </w:r>
    </w:p>
    <w:p>
      <w:pPr>
        <w:pStyle w:val="ListBullet"/>
        <w:spacing w:after="60"/>
      </w:pPr>
      <w:r>
        <w:t>Benchmarker les plateformes de campus, LMS, communautés étudiantes, plateformes documentaires et systèmes institutionnels.</w:t>
      </w:r>
    </w:p>
    <w:p>
      <w:pPr>
        <w:pStyle w:val="ListBullet"/>
        <w:spacing w:after="60"/>
      </w:pPr>
      <w:r>
        <w:t>Verifier la valeur et la faisabilité d’un registre de connaissances et d’une déduplication documentaire.</w:t>
      </w:r>
    </w:p>
    <w:p>
      <w:pPr>
        <w:pStyle w:val="ListBullet"/>
        <w:spacing w:after="60"/>
      </w:pPr>
      <w:r>
        <w:t>Explorer les modèles de gouvernance, de modération, d’archivage et de responsabilité.</w:t>
      </w:r>
    </w:p>
    <w:p>
      <w:pPr>
        <w:pStyle w:val="Heading1"/>
      </w:pPr>
      <w:r>
        <w:t>21. Questions ouvertes à résoudre</w:t>
      </w:r>
    </w:p>
    <w:p>
      <w:pPr>
        <w:pStyle w:val="ListBullet"/>
        <w:spacing w:after="60"/>
      </w:pPr>
      <w:r>
        <w:t>Qu’est-ce qu’un « groupe » du point de vue métier ? Est-ce un groupe de discussion, une promotion, une communauté ou plusieurs objets distincts ?</w:t>
      </w:r>
    </w:p>
    <w:p>
      <w:pPr>
        <w:pStyle w:val="ListBullet"/>
        <w:spacing w:after="60"/>
      </w:pPr>
      <w:r>
        <w:t>Une filière doit-elle posséder une identité durable indépendante des promotions ?</w:t>
      </w:r>
    </w:p>
    <w:p>
      <w:pPr>
        <w:pStyle w:val="ListBullet"/>
        <w:spacing w:after="60"/>
      </w:pPr>
      <w:r>
        <w:t>Une même communauté peut-elle agréger plusieurs promotions sans perdre la lisibilité du quotidien ?</w:t>
      </w:r>
    </w:p>
    <w:p>
      <w:pPr>
        <w:pStyle w:val="ListBullet"/>
        <w:spacing w:after="60"/>
      </w:pPr>
      <w:r>
        <w:t>Comment séparer le permanent, l’académique et le quotidien ?</w:t>
      </w:r>
    </w:p>
    <w:p>
      <w:pPr>
        <w:pStyle w:val="ListBullet"/>
        <w:spacing w:after="60"/>
      </w:pPr>
      <w:r>
        <w:t>Qui peut créer un contexte académique ?</w:t>
      </w:r>
    </w:p>
    <w:p>
      <w:pPr>
        <w:pStyle w:val="ListBullet"/>
        <w:spacing w:after="60"/>
      </w:pPr>
      <w:r>
        <w:t>Qui peut administrer ce contexte lorsque le créateur quitte son rôle ?</w:t>
      </w:r>
    </w:p>
    <w:p>
      <w:pPr>
        <w:pStyle w:val="ListBullet"/>
        <w:spacing w:after="60"/>
      </w:pPr>
      <w:r>
        <w:t>Comment gérer le renouvellement des délégués et sous-délégués ?</w:t>
      </w:r>
    </w:p>
    <w:p>
      <w:pPr>
        <w:pStyle w:val="ListBullet"/>
        <w:spacing w:after="60"/>
      </w:pPr>
      <w:r>
        <w:t>Comment formaliser le rôle d’un DA ou d’un responsable académique ?</w:t>
      </w:r>
    </w:p>
    <w:p>
      <w:pPr>
        <w:pStyle w:val="ListBullet"/>
        <w:spacing w:after="60"/>
      </w:pPr>
      <w:r>
        <w:t>Comment distinguer information officielle, information étudiante, discussion et connaissance ?</w:t>
      </w:r>
    </w:p>
    <w:p>
      <w:pPr>
        <w:pStyle w:val="ListBullet"/>
        <w:spacing w:after="60"/>
      </w:pPr>
      <w:r>
        <w:t>Comment rendre un programme modifiable tout en conservant son historique ?</w:t>
      </w:r>
    </w:p>
    <w:p>
      <w:pPr>
        <w:pStyle w:val="ListBullet"/>
        <w:spacing w:after="60"/>
      </w:pPr>
      <w:r>
        <w:t>Comment identifier un document identique ?</w:t>
      </w:r>
    </w:p>
    <w:p>
      <w:pPr>
        <w:pStyle w:val="ListBullet"/>
        <w:spacing w:after="60"/>
      </w:pPr>
      <w:r>
        <w:t>Comment distinguer duplication, nouvelle version et contenu conceptuellement différent ?</w:t>
      </w:r>
    </w:p>
    <w:p>
      <w:pPr>
        <w:pStyle w:val="ListBullet"/>
        <w:spacing w:after="60"/>
      </w:pPr>
      <w:r>
        <w:t>Comment gérer les PDF, photos, scans, transcriptions et autres représentations d’une même ressource ?</w:t>
      </w:r>
    </w:p>
    <w:p>
      <w:pPr>
        <w:pStyle w:val="ListBullet"/>
        <w:spacing w:after="60"/>
      </w:pPr>
      <w:r>
        <w:t>Comment rendre les documents persistants et accessibles sur plusieurs années ?</w:t>
      </w:r>
    </w:p>
    <w:p>
      <w:pPr>
        <w:pStyle w:val="ListBullet"/>
        <w:spacing w:after="60"/>
      </w:pPr>
      <w:r>
        <w:t>Comment éviter que la déduplication détruise des variantes pédagogiques légitimes ?</w:t>
      </w:r>
    </w:p>
    <w:p>
      <w:pPr>
        <w:pStyle w:val="ListBullet"/>
        <w:spacing w:after="60"/>
      </w:pPr>
      <w:r>
        <w:t>Comment relier deux filières équivalentes appartenant à des établissements différents ?</w:t>
      </w:r>
    </w:p>
    <w:p>
      <w:pPr>
        <w:pStyle w:val="ListBullet"/>
        <w:spacing w:after="60"/>
      </w:pPr>
      <w:r>
        <w:t>Quelle partie doit être commune au niveau national et quelle partie doit rester locale ?</w:t>
      </w:r>
    </w:p>
    <w:p>
      <w:pPr>
        <w:pStyle w:val="ListBullet"/>
        <w:spacing w:after="60"/>
      </w:pPr>
      <w:r>
        <w:t>Comment gérer le cas des établissements qui ne souhaitent pas la même profondeur d’intégration ?</w:t>
      </w:r>
    </w:p>
    <w:p>
      <w:pPr>
        <w:pStyle w:val="ListBullet"/>
        <w:spacing w:after="60"/>
      </w:pPr>
      <w:r>
        <w:t>Quelle relation juridique et technique pourrait exister avec les référentiels institutionnels ou CampusFaso ?</w:t>
      </w:r>
    </w:p>
    <w:p>
      <w:pPr>
        <w:pStyle w:val="ListBullet"/>
        <w:spacing w:after="60"/>
      </w:pPr>
      <w:r>
        <w:t>Quelles données sont nécessaires pour différencier lycéen, bachelier, futur étudiant, étudiant et ancien étudiant ?</w:t>
      </w:r>
    </w:p>
    <w:p>
      <w:pPr>
        <w:pStyle w:val="ListBullet"/>
        <w:spacing w:after="60"/>
      </w:pPr>
      <w:r>
        <w:t>À quel moment un futur étudiant devient-il membre d’un contexte universitaire ?</w:t>
      </w:r>
    </w:p>
    <w:p>
      <w:pPr>
        <w:pStyle w:val="ListBullet"/>
        <w:spacing w:after="60"/>
      </w:pPr>
      <w:r>
        <w:t>Comment éviter que l’extension aux lycéens dilue l’identité étudiante du système ?</w:t>
      </w:r>
    </w:p>
    <w:p>
      <w:pPr>
        <w:pStyle w:val="ListBullet"/>
        <w:spacing w:after="60"/>
      </w:pPr>
      <w:r>
        <w:t>Quels modules disciplinaires seraient réellement utiles, et selon quels critères devraient-ils être retenus ?</w:t>
      </w:r>
    </w:p>
    <w:p>
      <w:pPr>
        <w:pStyle w:val="ListBullet"/>
        <w:spacing w:after="60"/>
      </w:pPr>
      <w:r>
        <w:t>Quelle est la première population ou le premier établissement sur lequel la valeur pourrait être démontrée ?</w:t>
      </w:r>
    </w:p>
    <w:p>
      <w:pPr>
        <w:pStyle w:val="ListBullet"/>
        <w:spacing w:after="60"/>
      </w:pPr>
      <w:r>
        <w:t>Quel mécanisme produit un effet réseau réel ?</w:t>
      </w:r>
    </w:p>
    <w:p>
      <w:pPr>
        <w:pStyle w:val="ListBullet"/>
        <w:spacing w:after="60"/>
      </w:pPr>
      <w:r>
        <w:t>Quel actif devient plus précieux à mesure que le réseau croît ?</w:t>
      </w:r>
    </w:p>
    <w:p>
      <w:pPr>
        <w:pStyle w:val="Heading1"/>
      </w:pPr>
      <w:r>
        <w:t>22. Ce qui demeure explicitement non décidé</w:t>
      </w:r>
    </w:p>
    <w:p>
      <w:r>
        <w:t>Afin de préserver l’ouverture, les éléments suivants ne doivent pas être considérés comme décidés par ce document :</w:t>
      </w:r>
    </w:p>
    <w:p>
      <w:pPr>
        <w:pStyle w:val="ListBullet"/>
        <w:spacing w:after="60"/>
      </w:pPr>
      <w:r>
        <w:t>Le nom du projet, de la plateforme ou de la marque.</w:t>
      </w:r>
    </w:p>
    <w:p>
      <w:pPr>
        <w:pStyle w:val="ListBullet"/>
        <w:spacing w:after="60"/>
      </w:pPr>
      <w:r>
        <w:t>La forme juridique et la structure porteuse.</w:t>
      </w:r>
    </w:p>
    <w:p>
      <w:pPr>
        <w:pStyle w:val="ListBullet"/>
        <w:spacing w:after="60"/>
      </w:pPr>
      <w:r>
        <w:t>Le modèle économique.</w:t>
      </w:r>
    </w:p>
    <w:p>
      <w:pPr>
        <w:pStyle w:val="ListBullet"/>
        <w:spacing w:after="60"/>
      </w:pPr>
      <w:r>
        <w:t>La gouvernance nationale ou institutionnelle.</w:t>
      </w:r>
    </w:p>
    <w:p>
      <w:pPr>
        <w:pStyle w:val="ListBullet"/>
        <w:spacing w:after="60"/>
      </w:pPr>
      <w:r>
        <w:t>Le rôle exact de l’État, des universités, grandes écoles, associations, délégués ou opérateurs.</w:t>
      </w:r>
    </w:p>
    <w:p>
      <w:pPr>
        <w:pStyle w:val="ListBullet"/>
        <w:spacing w:after="60"/>
      </w:pPr>
      <w:r>
        <w:t>La nature exacte du nœud central.</w:t>
      </w:r>
    </w:p>
    <w:p>
      <w:pPr>
        <w:pStyle w:val="ListBullet"/>
        <w:spacing w:after="60"/>
      </w:pPr>
      <w:r>
        <w:t>Le degré de centralisation ou de fédération.</w:t>
      </w:r>
    </w:p>
    <w:p>
      <w:pPr>
        <w:pStyle w:val="ListBullet"/>
        <w:spacing w:after="60"/>
      </w:pPr>
      <w:r>
        <w:t>La stack technique.</w:t>
      </w:r>
    </w:p>
    <w:p>
      <w:pPr>
        <w:pStyle w:val="ListBullet"/>
        <w:spacing w:after="60"/>
      </w:pPr>
      <w:r>
        <w:t>Le modèle d’hébergement.</w:t>
      </w:r>
    </w:p>
    <w:p>
      <w:pPr>
        <w:pStyle w:val="ListBullet"/>
        <w:spacing w:after="60"/>
      </w:pPr>
      <w:r>
        <w:t>Le modèle de données définitif.</w:t>
      </w:r>
    </w:p>
    <w:p>
      <w:pPr>
        <w:pStyle w:val="ListBullet"/>
        <w:spacing w:after="60"/>
      </w:pPr>
      <w:r>
        <w:t>Le protocole de communication.</w:t>
      </w:r>
    </w:p>
    <w:p>
      <w:pPr>
        <w:pStyle w:val="ListBullet"/>
        <w:spacing w:after="60"/>
      </w:pPr>
      <w:r>
        <w:t>Le modèle d’identité et de vérification.</w:t>
      </w:r>
    </w:p>
    <w:p>
      <w:pPr>
        <w:pStyle w:val="ListBullet"/>
        <w:spacing w:after="60"/>
      </w:pPr>
      <w:r>
        <w:t>Les règles définitives de modération.</w:t>
      </w:r>
    </w:p>
    <w:p>
      <w:pPr>
        <w:pStyle w:val="ListBullet"/>
        <w:spacing w:after="60"/>
      </w:pPr>
      <w:r>
        <w:t>Le mécanisme définitif de stockage documentaire.</w:t>
      </w:r>
    </w:p>
    <w:p>
      <w:pPr>
        <w:pStyle w:val="ListBullet"/>
        <w:spacing w:after="60"/>
      </w:pPr>
      <w:r>
        <w:t>Le recours éventuel à l’intelligence artificielle.</w:t>
      </w:r>
    </w:p>
    <w:p>
      <w:pPr>
        <w:pStyle w:val="ListBullet"/>
        <w:spacing w:after="60"/>
      </w:pPr>
      <w:r>
        <w:t>Le recours éventuel à un système fédéré ou à une logique de registre distribué.</w:t>
      </w:r>
    </w:p>
    <w:p>
      <w:pPr>
        <w:pStyle w:val="ListBullet"/>
        <w:spacing w:after="60"/>
      </w:pPr>
      <w:r>
        <w:t>La conception finale de la messagerie.</w:t>
      </w:r>
    </w:p>
    <w:p>
      <w:pPr>
        <w:pStyle w:val="ListBullet"/>
        <w:spacing w:after="60"/>
      </w:pPr>
      <w:r>
        <w:t>La structure définitive des communautés.</w:t>
      </w:r>
    </w:p>
    <w:p>
      <w:pPr>
        <w:pStyle w:val="ListBullet"/>
        <w:spacing w:after="60"/>
      </w:pPr>
      <w:r>
        <w:t>Le modèle définitif de continuité des promotions.</w:t>
      </w:r>
    </w:p>
    <w:p>
      <w:pPr>
        <w:pStyle w:val="ListBullet"/>
        <w:spacing w:after="60"/>
      </w:pPr>
      <w:r>
        <w:t>Le modèle définitif de relation avec CampusFaso.</w:t>
      </w:r>
    </w:p>
    <w:p>
      <w:pPr>
        <w:pStyle w:val="ListBullet"/>
        <w:spacing w:after="60"/>
      </w:pPr>
      <w:r>
        <w:t>Le premier marché ou établissement cible.</w:t>
      </w:r>
    </w:p>
    <w:p>
      <w:pPr>
        <w:pStyle w:val="ListBullet"/>
        <w:spacing w:after="60"/>
      </w:pPr>
      <w:r>
        <w:t>Le MVP.</w:t>
      </w:r>
    </w:p>
    <w:p>
      <w:pPr>
        <w:pStyle w:val="ListBullet"/>
        <w:spacing w:after="60"/>
      </w:pPr>
      <w:r>
        <w:t>Le Core Domain définitif.</w:t>
      </w:r>
    </w:p>
    <w:p>
      <w:pPr>
        <w:pStyle w:val="ListBullet"/>
        <w:spacing w:after="60"/>
      </w:pPr>
      <w:r>
        <w:t>Le secret définitif.</w:t>
      </w:r>
    </w:p>
    <w:p>
      <w:pPr>
        <w:pStyle w:val="ListBullet"/>
        <w:spacing w:after="60"/>
      </w:pPr>
      <w:r>
        <w:t>L’actif indétrônable définitif.</w:t>
      </w:r>
    </w:p>
    <w:p>
      <w:pPr>
        <w:pStyle w:val="ListBullet"/>
        <w:spacing w:after="60"/>
      </w:pPr>
      <w:r>
        <w:t>Le choix final entre un produit unique, une infrastructure ou une combinaison des deux.</w:t>
      </w:r>
    </w:p>
    <w:p>
      <w:pPr>
        <w:pStyle w:val="Heading1"/>
      </w:pPr>
      <w:r>
        <w:t>23. Conclusion d’ouverture</w:t>
      </w:r>
    </w:p>
    <w:p>
      <w:r>
        <w:t>Le projet décrit dans les échanges cherche à faire émerger un monde numérique étudiant spécifiquement contextualisé pour le Burkina Faso. Son point de départ n’est pas une technologie particulière, mais une réalité : les étudiants et les établissements créent déjà des structures numériques informelles pour organiser la vie quotidienne, partager des documents, transmettre des programmes, communiquer avec des responsables et maintenir des communautés.</w:t>
      </w:r>
    </w:p>
    <w:p>
      <w:r>
        <w:t>L’hypothèse explorée est qu’un système conçu explicitement autour de ces réalités pourrait les formaliser et les rendre plus durables : universités comme contextes, UFR et filières comme structures académiques, promotions comme réalités temporelles, rôles étudiants et administratifs comme relations formelles, documents comme ressources persistantes, communautés comme réseaux transversaux, et établissements comme nœuds d’un écosystème national.</w:t>
      </w:r>
    </w:p>
    <w:p>
      <w:r>
        <w:t>Le projet doit cependant rester ouvert à la possibilité que les études montrent une autre modélisation, une autre frontière ou une autre proposition de valeur. Le document ne cherche donc pas à prouver que la vision est déjà juste. Il cherche à empêcher que l’intention soit perdue pendant les phases d’analyse et à offrir aux experts, chercheurs, architectes, acteurs institutionnels et utilisateurs un point de départ commun.</w:t>
      </w:r>
    </w:p>
    <w:p>
      <w:pPr>
        <w:pStyle w:val="QuoteBlock"/>
      </w:pPr>
      <w:r>
        <w:t>La prochaine étape n’est pas de choisir la technologie. La prochaine étape est de comprendre suffisamment bien le monde étudiant réel pour savoir quel système mérite d’être construit, pour qui, autour de quelles relations et avec quelle valeur durable.</w:t>
      </w:r>
    </w:p>
    <w:p>
      <w:r/>
    </w:p>
    <w:p>
      <w:pPr>
        <w:pStyle w:val="Heading1"/>
      </w:pPr>
      <w:r>
        <w:t>Annexe A. Cartographies conceptuelles</w:t>
      </w:r>
    </w:p>
    <w:p>
      <w:pPr>
        <w:pStyle w:val="Heading2"/>
      </w:pPr>
      <w:r>
        <w:t>A.1. Cartographie du contexte institutionnel</w:t>
      </w:r>
    </w:p>
    <w:p>
      <w:pPr>
        <w:spacing w:before="80" w:after="140"/>
        <w:ind w:left="288" w:right="288"/>
      </w:pPr>
      <w:r>
        <w:rPr>
          <w:rFonts w:ascii="Consolas" w:hAnsi="Consolas"/>
          <w:color w:val="333333"/>
          <w:sz w:val="17"/>
        </w:rPr>
        <w:t xml:space="preserve">                    RÉSEAU NATIONAL</w:t>
        <w:br/>
        <w:t xml:space="preserve">                          │</w:t>
        <w:br/>
        <w:t xml:space="preserve">        ┌─────────────────┼─────────────────┐</w:t>
        <w:br/>
        <w:t xml:space="preserve">        │                 │                 │</w:t>
        <w:br/>
        <w:t xml:space="preserve">   Université A      Université B      Grande École C</w:t>
        <w:br/>
        <w:t xml:space="preserve">        │                 │                 │</w:t>
        <w:br/>
        <w:t xml:space="preserve">       UFR               UFR               UFR</w:t>
        <w:br/>
        <w:t xml:space="preserve">        │                 │                 │</w:t>
        <w:br/>
        <w:t xml:space="preserve">     Filière           Filière           Filière</w:t>
        <w:br/>
        <w:t xml:space="preserve">        │                 │                 │</w:t>
        <w:br/>
        <w:t xml:space="preserve">     Promotion         Promotion         Promotion</w:t>
        <w:br/>
        <w:t xml:space="preserve">        │                 │                 │</w:t>
        <w:br/>
        <w:t xml:space="preserve">     Cercle            Cercle            Cercle</w:t>
      </w:r>
    </w:p>
    <w:p>
      <w:pPr>
        <w:pStyle w:val="Heading2"/>
      </w:pPr>
      <w:r>
        <w:t>A.2. Cartographie de la circulation de l’information</w:t>
      </w:r>
    </w:p>
    <w:p>
      <w:pPr>
        <w:spacing w:before="80" w:after="140"/>
        <w:ind w:left="288" w:right="288"/>
      </w:pPr>
      <w:r>
        <w:rPr>
          <w:rFonts w:ascii="Consolas" w:hAnsi="Consolas"/>
          <w:color w:val="333333"/>
          <w:sz w:val="17"/>
        </w:rPr>
        <w:t>DA / administration</w:t>
        <w:br/>
        <w:t xml:space="preserve">      │</w:t>
        <w:br/>
        <w:t xml:space="preserve">      ├── programme</w:t>
        <w:br/>
        <w:t xml:space="preserve">      ├── annonce</w:t>
        <w:br/>
        <w:t xml:space="preserve">      └── information</w:t>
        <w:br/>
        <w:t xml:space="preserve">      │</w:t>
        <w:br/>
        <w:t xml:space="preserve">      ▼</w:t>
        <w:br/>
        <w:t>Contexte académique</w:t>
        <w:br/>
        <w:t xml:space="preserve">      │</w:t>
        <w:br/>
        <w:t xml:space="preserve">      ├── tous les étudiants concernés</w:t>
        <w:br/>
        <w:t xml:space="preserve">      ├── délégué</w:t>
        <w:br/>
        <w:t xml:space="preserve">      ├── sous-délégué</w:t>
        <w:br/>
        <w:t xml:space="preserve">      └── ressources</w:t>
        <w:br/>
        <w:br/>
        <w:t>Possibilité : communication directe + relais humain, plutôt que relais humain obligatoire.</w:t>
      </w:r>
    </w:p>
    <w:p>
      <w:pPr>
        <w:pStyle w:val="Heading2"/>
      </w:pPr>
      <w:r>
        <w:t>A.3. Cartographie documentaire</w:t>
      </w:r>
    </w:p>
    <w:p>
      <w:pPr>
        <w:spacing w:before="80" w:after="140"/>
        <w:ind w:left="288" w:right="288"/>
      </w:pPr>
      <w:r>
        <w:rPr>
          <w:rFonts w:ascii="Consolas" w:hAnsi="Consolas"/>
          <w:color w:val="333333"/>
          <w:sz w:val="17"/>
        </w:rPr>
        <w:t xml:space="preserve">                 UNITÉ DE CONNAISSANCE ?</w:t>
        <w:br/>
        <w:t xml:space="preserve">                          │</w:t>
        <w:br/>
        <w:t xml:space="preserve">          ┌───────────────┼────────────────┐</w:t>
        <w:br/>
        <w:t xml:space="preserve">          │               │                │</w:t>
        <w:br/>
        <w:t xml:space="preserve">      PDF / fichier     photo / scan     autre représentation</w:t>
        <w:br/>
        <w:t xml:space="preserve">          │               │                │</w:t>
        <w:br/>
        <w:t xml:space="preserve">          └───────────────┼────────────────┘</w:t>
        <w:br/>
        <w:t xml:space="preserve">                          │</w:t>
        <w:br/>
        <w:t xml:space="preserve">                     version(s)</w:t>
        <w:br/>
        <w:t xml:space="preserve">                          │</w:t>
        <w:br/>
        <w:t xml:space="preserve">               ┌──────────┼──────────┐</w:t>
        <w:br/>
        <w:t xml:space="preserve">               │          │          │</w:t>
        <w:br/>
        <w:t xml:space="preserve">           correction   discussion  référence</w:t>
        <w:br/>
        <w:t xml:space="preserve">                          │</w:t>
        <w:br/>
        <w:t xml:space="preserve">                plusieurs contextes</w:t>
      </w:r>
    </w:p>
    <w:p>
      <w:pPr>
        <w:pStyle w:val="Heading2"/>
      </w:pPr>
      <w:r>
        <w:t>A.4. Continuité temporelle</w:t>
      </w:r>
    </w:p>
    <w:p>
      <w:pPr>
        <w:spacing w:before="80" w:after="140"/>
        <w:ind w:left="288" w:right="288"/>
      </w:pPr>
      <w:r>
        <w:rPr>
          <w:rFonts w:ascii="Consolas" w:hAnsi="Consolas"/>
          <w:color w:val="333333"/>
          <w:sz w:val="17"/>
        </w:rPr>
        <w:t>FILIÈRE INFORMATIQUE</w:t>
        <w:br/>
        <w:t>│</w:t>
        <w:br/>
        <w:t>├── Espace permanent ?</w:t>
        <w:br/>
        <w:t>│     ├── ressources générales</w:t>
        <w:br/>
        <w:t>│     ├── histoire / mémoire</w:t>
        <w:br/>
        <w:t>│     └── communauté inter-promotions</w:t>
        <w:br/>
        <w:t>│</w:t>
        <w:br/>
        <w:t>└── Promotions</w:t>
        <w:br/>
        <w:t xml:space="preserve">      ├── 2025–2026</w:t>
        <w:br/>
        <w:t xml:space="preserve">      ├── 2026–2027</w:t>
        <w:br/>
        <w:t xml:space="preserve">      └── 2027–2028</w:t>
        <w:br/>
        <w:br/>
        <w:t>Décision : NON PRISE.</w:t>
      </w:r>
    </w:p>
    <w:p>
      <w:pPr>
        <w:pStyle w:val="Heading1"/>
      </w:pPr>
      <w:r>
        <w:t>Annexe B. Lexique de travail provisoire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1F3751"/>
            <w:vAlign w:val="center"/>
          </w:tcPr>
          <w:p>
            <w:r/>
            <w:r>
              <w:rPr>
                <w:rFonts w:ascii="Aptos" w:hAnsi="Aptos"/>
                <w:b/>
                <w:color w:val="FFFFFF"/>
                <w:sz w:val="18"/>
              </w:rPr>
              <w:t>Terme</w:t>
            </w:r>
          </w:p>
        </w:tc>
        <w:tc>
          <w:tcPr>
            <w:tcW w:type="dxa" w:w="4896"/>
            <w:shd w:fill="1F3751"/>
            <w:vAlign w:val="center"/>
          </w:tcPr>
          <w:p>
            <w:r/>
            <w:r>
              <w:rPr>
                <w:rFonts w:ascii="Aptos" w:hAnsi="Aptos"/>
                <w:b/>
                <w:color w:val="FFFFFF"/>
                <w:sz w:val="18"/>
              </w:rPr>
              <w:t>Sens provisoire dans le cadre du document</w:t>
            </w:r>
          </w:p>
        </w:tc>
      </w:tr>
      <w:tr>
        <w:trPr>
          <w:cantSplit/>
        </w:trPr>
        <w:tc>
          <w:tcPr>
            <w:tcW w:type="dxa" w:w="4896"/>
            <w:vAlign w:val="center"/>
          </w:tcPr>
          <w:p>
            <w:r/>
            <w:r>
              <w:rPr>
                <w:rFonts w:ascii="Aptos" w:hAnsi="Aptos"/>
                <w:b w:val="0"/>
                <w:color w:val="333333"/>
                <w:sz w:val="18"/>
              </w:rPr>
              <w:t>Écosystème</w:t>
            </w:r>
          </w:p>
        </w:tc>
        <w:tc>
          <w:tcPr>
            <w:tcW w:type="dxa" w:w="4896"/>
            <w:vAlign w:val="center"/>
          </w:tcPr>
          <w:p>
            <w:r/>
            <w:r>
              <w:rPr>
                <w:rFonts w:ascii="Aptos" w:hAnsi="Aptos"/>
                <w:b w:val="0"/>
                <w:color w:val="333333"/>
                <w:sz w:val="18"/>
              </w:rPr>
              <w:t>Ensemble interconnecté d’établissements, contextes, communautés, étudiants, connaissances et relations.</w:t>
            </w:r>
          </w:p>
        </w:tc>
      </w:tr>
      <w:tr>
        <w:trPr>
          <w:cantSplit/>
        </w:trPr>
        <w:tc>
          <w:tcPr>
            <w:tcW w:type="dxa" w:w="4896"/>
            <w:vAlign w:val="center"/>
          </w:tcPr>
          <w:p>
            <w:r/>
            <w:r>
              <w:rPr>
                <w:rFonts w:ascii="Aptos" w:hAnsi="Aptos"/>
                <w:b w:val="0"/>
                <w:color w:val="333333"/>
                <w:sz w:val="18"/>
              </w:rPr>
              <w:t>Nœud</w:t>
            </w:r>
          </w:p>
        </w:tc>
        <w:tc>
          <w:tcPr>
            <w:tcW w:type="dxa" w:w="4896"/>
            <w:vAlign w:val="center"/>
          </w:tcPr>
          <w:p>
            <w:r/>
            <w:r>
              <w:rPr>
                <w:rFonts w:ascii="Aptos" w:hAnsi="Aptos"/>
                <w:b w:val="0"/>
                <w:color w:val="333333"/>
                <w:sz w:val="18"/>
              </w:rPr>
              <w:t>Contexte ou entité identifiable du réseau conceptuel.</w:t>
            </w:r>
          </w:p>
        </w:tc>
      </w:tr>
      <w:tr>
        <w:trPr>
          <w:cantSplit/>
        </w:trPr>
        <w:tc>
          <w:tcPr>
            <w:tcW w:type="dxa" w:w="4896"/>
            <w:vAlign w:val="center"/>
          </w:tcPr>
          <w:p>
            <w:r/>
            <w:r>
              <w:rPr>
                <w:rFonts w:ascii="Aptos" w:hAnsi="Aptos"/>
                <w:b w:val="0"/>
                <w:color w:val="333333"/>
                <w:sz w:val="18"/>
              </w:rPr>
              <w:t>Contexte institutionnel</w:t>
            </w:r>
          </w:p>
        </w:tc>
        <w:tc>
          <w:tcPr>
            <w:tcW w:type="dxa" w:w="4896"/>
            <w:vAlign w:val="center"/>
          </w:tcPr>
          <w:p>
            <w:r/>
            <w:r>
              <w:rPr>
                <w:rFonts w:ascii="Aptos" w:hAnsi="Aptos"/>
                <w:b w:val="0"/>
                <w:color w:val="333333"/>
                <w:sz w:val="18"/>
              </w:rPr>
              <w:t>Représentation numérique propre à une université, grande école ou structure d’enseignement supérieur.</w:t>
            </w:r>
          </w:p>
        </w:tc>
      </w:tr>
      <w:tr>
        <w:trPr>
          <w:cantSplit/>
        </w:trPr>
        <w:tc>
          <w:tcPr>
            <w:tcW w:type="dxa" w:w="4896"/>
            <w:vAlign w:val="center"/>
          </w:tcPr>
          <w:p>
            <w:r/>
            <w:r>
              <w:rPr>
                <w:rFonts w:ascii="Aptos" w:hAnsi="Aptos"/>
                <w:b w:val="0"/>
                <w:color w:val="333333"/>
                <w:sz w:val="18"/>
              </w:rPr>
              <w:t>Cercle académique</w:t>
            </w:r>
          </w:p>
        </w:tc>
        <w:tc>
          <w:tcPr>
            <w:tcW w:type="dxa" w:w="4896"/>
            <w:vAlign w:val="center"/>
          </w:tcPr>
          <w:p>
            <w:r/>
            <w:r>
              <w:rPr>
                <w:rFonts w:ascii="Aptos" w:hAnsi="Aptos"/>
                <w:b w:val="0"/>
                <w:color w:val="333333"/>
                <w:sz w:val="18"/>
              </w:rPr>
              <w:t>Nom de travail pour une entité de vie académique rattachée à une filière / promotion.</w:t>
            </w:r>
          </w:p>
        </w:tc>
      </w:tr>
      <w:tr>
        <w:trPr>
          <w:cantSplit/>
        </w:trPr>
        <w:tc>
          <w:tcPr>
            <w:tcW w:type="dxa" w:w="4896"/>
            <w:vAlign w:val="center"/>
          </w:tcPr>
          <w:p>
            <w:r/>
            <w:r>
              <w:rPr>
                <w:rFonts w:ascii="Aptos" w:hAnsi="Aptos"/>
                <w:b w:val="0"/>
                <w:color w:val="333333"/>
                <w:sz w:val="18"/>
              </w:rPr>
              <w:t>Promotion</w:t>
            </w:r>
          </w:p>
        </w:tc>
        <w:tc>
          <w:tcPr>
            <w:tcW w:type="dxa" w:w="4896"/>
            <w:vAlign w:val="center"/>
          </w:tcPr>
          <w:p>
            <w:r/>
            <w:r>
              <w:rPr>
                <w:rFonts w:ascii="Aptos" w:hAnsi="Aptos"/>
                <w:b w:val="0"/>
                <w:color w:val="333333"/>
                <w:sz w:val="18"/>
              </w:rPr>
              <w:t>Groupe d’étudiants associé à une période académique donnée.</w:t>
            </w:r>
          </w:p>
        </w:tc>
      </w:tr>
      <w:tr>
        <w:trPr>
          <w:cantSplit/>
        </w:trPr>
        <w:tc>
          <w:tcPr>
            <w:tcW w:type="dxa" w:w="4896"/>
            <w:vAlign w:val="center"/>
          </w:tcPr>
          <w:p>
            <w:r/>
            <w:r>
              <w:rPr>
                <w:rFonts w:ascii="Aptos" w:hAnsi="Aptos"/>
                <w:b w:val="0"/>
                <w:color w:val="333333"/>
                <w:sz w:val="18"/>
              </w:rPr>
              <w:t>Communauté</w:t>
            </w:r>
          </w:p>
        </w:tc>
        <w:tc>
          <w:tcPr>
            <w:tcW w:type="dxa" w:w="4896"/>
            <w:vAlign w:val="center"/>
          </w:tcPr>
          <w:p>
            <w:r/>
            <w:r>
              <w:rPr>
                <w:rFonts w:ascii="Aptos" w:hAnsi="Aptos"/>
                <w:b w:val="0"/>
                <w:color w:val="333333"/>
                <w:sz w:val="18"/>
              </w:rPr>
              <w:t>Groupe organisé autour d’une appartenance, discipline, intérêt, projet ou pratique.</w:t>
            </w:r>
          </w:p>
        </w:tc>
      </w:tr>
      <w:tr>
        <w:trPr>
          <w:cantSplit/>
        </w:trPr>
        <w:tc>
          <w:tcPr>
            <w:tcW w:type="dxa" w:w="4896"/>
            <w:vAlign w:val="center"/>
          </w:tcPr>
          <w:p>
            <w:r/>
            <w:r>
              <w:rPr>
                <w:rFonts w:ascii="Aptos" w:hAnsi="Aptos"/>
                <w:b w:val="0"/>
                <w:color w:val="333333"/>
                <w:sz w:val="18"/>
              </w:rPr>
              <w:t>Ressource</w:t>
            </w:r>
          </w:p>
        </w:tc>
        <w:tc>
          <w:tcPr>
            <w:tcW w:type="dxa" w:w="4896"/>
            <w:vAlign w:val="center"/>
          </w:tcPr>
          <w:p>
            <w:r/>
            <w:r>
              <w:rPr>
                <w:rFonts w:ascii="Aptos" w:hAnsi="Aptos"/>
                <w:b w:val="0"/>
                <w:color w:val="333333"/>
                <w:sz w:val="18"/>
              </w:rPr>
              <w:t>Objet documentaire ou informationnel utilisable dans un ou plusieurs contextes.</w:t>
            </w:r>
          </w:p>
        </w:tc>
      </w:tr>
      <w:tr>
        <w:trPr>
          <w:cantSplit/>
        </w:trPr>
        <w:tc>
          <w:tcPr>
            <w:tcW w:type="dxa" w:w="4896"/>
            <w:vAlign w:val="center"/>
          </w:tcPr>
          <w:p>
            <w:r/>
            <w:r>
              <w:rPr>
                <w:rFonts w:ascii="Aptos" w:hAnsi="Aptos"/>
                <w:b w:val="0"/>
                <w:color w:val="333333"/>
                <w:sz w:val="18"/>
              </w:rPr>
              <w:t>Unité de connaissance</w:t>
            </w:r>
          </w:p>
        </w:tc>
        <w:tc>
          <w:tcPr>
            <w:tcW w:type="dxa" w:w="4896"/>
            <w:vAlign w:val="center"/>
          </w:tcPr>
          <w:p>
            <w:r/>
            <w:r>
              <w:rPr>
                <w:rFonts w:ascii="Aptos" w:hAnsi="Aptos"/>
                <w:b w:val="0"/>
                <w:color w:val="333333"/>
                <w:sz w:val="18"/>
              </w:rPr>
              <w:t>Hypothèse d’un objet conceptuel pouvant regrouper différentes représentations d’une même connaissance.</w:t>
            </w:r>
          </w:p>
        </w:tc>
      </w:tr>
      <w:tr>
        <w:trPr>
          <w:cantSplit/>
        </w:trPr>
        <w:tc>
          <w:tcPr>
            <w:tcW w:type="dxa" w:w="4896"/>
            <w:vAlign w:val="center"/>
          </w:tcPr>
          <w:p>
            <w:r/>
            <w:r>
              <w:rPr>
                <w:rFonts w:ascii="Aptos" w:hAnsi="Aptos"/>
                <w:b w:val="0"/>
                <w:color w:val="333333"/>
                <w:sz w:val="18"/>
              </w:rPr>
              <w:t>DA</w:t>
            </w:r>
          </w:p>
        </w:tc>
        <w:tc>
          <w:tcPr>
            <w:tcW w:type="dxa" w:w="4896"/>
            <w:vAlign w:val="center"/>
          </w:tcPr>
          <w:p>
            <w:r/>
            <w:r>
              <w:rPr>
                <w:rFonts w:ascii="Aptos" w:hAnsi="Aptos"/>
                <w:b w:val="0"/>
                <w:color w:val="333333"/>
                <w:sz w:val="18"/>
              </w:rPr>
              <w:t>Abréviation utilisée dans les échanges pour désigner un directeur adjoint ou responsable équivalent ; la signification exacte dépend du contexte institutionnel.</w:t>
            </w:r>
          </w:p>
        </w:tc>
      </w:tr>
      <w:tr>
        <w:trPr>
          <w:cantSplit/>
        </w:trPr>
        <w:tc>
          <w:tcPr>
            <w:tcW w:type="dxa" w:w="4896"/>
            <w:vAlign w:val="center"/>
          </w:tcPr>
          <w:p>
            <w:r/>
            <w:r>
              <w:rPr>
                <w:rFonts w:ascii="Aptos" w:hAnsi="Aptos"/>
                <w:b w:val="0"/>
                <w:color w:val="333333"/>
                <w:sz w:val="18"/>
              </w:rPr>
              <w:t>Futur étudiant</w:t>
            </w:r>
          </w:p>
        </w:tc>
        <w:tc>
          <w:tcPr>
            <w:tcW w:type="dxa" w:w="4896"/>
            <w:vAlign w:val="center"/>
          </w:tcPr>
          <w:p>
            <w:r/>
            <w:r>
              <w:rPr>
                <w:rFonts w:ascii="Aptos" w:hAnsi="Aptos"/>
                <w:b w:val="0"/>
                <w:color w:val="333333"/>
                <w:sz w:val="18"/>
              </w:rPr>
              <w:t>Catégorie de transition envisagée entre le statut de bachelier et celui d’étudiant confirmé.</w:t>
            </w:r>
          </w:p>
        </w:tc>
      </w:tr>
    </w:tbl>
    <w:p/>
    <w:p>
      <w:r>
        <w:t>Ce lexique est volontairement provisoire. Le langage ubiquitaire définitif ne sera établi qu’après observation, entretiens et DDD stratégique.</w:t>
      </w:r>
    </w:p>
    <w:p>
      <w:pPr>
        <w:pStyle w:val="Heading1"/>
      </w:pPr>
      <w:r>
        <w:t>Annexe C. Journal de formulation et précautions méthodologiques</w:t>
      </w:r>
    </w:p>
    <w:p>
      <w:r>
        <w:t>Le contenu de ce document est une consolidation de l’intention et des possibilités exprimées dans les échanges sur le projet. Il ne transforme pas les exemples ou formulations personnelles en statistiques nationales. Toute affirmation sur la fréquence réelle d’un usage, la couverture d’un dispositif ou la conformité à une pratique institutionnelle doit faire l’objet d’une vérification terrain ou documentaire.</w:t>
      </w:r>
    </w:p>
    <w:p>
      <w:r>
        <w:t>Le document doit également préserver la séparation entre trois niveaux :</w:t>
      </w:r>
    </w:p>
    <w:p>
      <w:pPr>
        <w:pStyle w:val="ListBullet"/>
        <w:spacing w:after="60"/>
      </w:pPr>
      <w:r>
        <w:t>Le monde observé : ce que les étudiants, délégués et établissements font réellement aujourd’hui.</w:t>
      </w:r>
    </w:p>
    <w:p>
      <w:pPr>
        <w:pStyle w:val="ListBullet"/>
        <w:spacing w:after="60"/>
      </w:pPr>
      <w:r>
        <w:t>Le monde imaginé : ce que l’écosystème pourrait permettre si les hypothèses sont confirmées.</w:t>
      </w:r>
    </w:p>
    <w:p>
      <w:pPr>
        <w:pStyle w:val="ListBullet"/>
        <w:spacing w:after="60"/>
      </w:pPr>
      <w:r>
        <w:t>Le système construit : ce qui sera retenu seulement après études, preuves, cadrage et décisions.</w:t>
      </w:r>
    </w:p>
    <w:p>
      <w:r>
        <w:t>Cette séparation est essentielle pour éviter qu’une représentation conceptuelle devienne prématurément une exigence technique ou une décision de gouvernance.</w:t>
      </w:r>
    </w:p>
    <w:p>
      <w:pPr>
        <w:jc w:val="right"/>
      </w:pPr>
      <w:r>
        <w:rPr>
          <w:color w:val="666666"/>
          <w:sz w:val="17"/>
        </w:rPr>
        <w:t>Fin du document — V0.1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Document fondateur d’ouverture — Écosystème estudiantin du Burkina Faso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751"/>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375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B886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375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7"/>
    </w:rPr>
  </w:style>
  <w:style w:type="paragraph" w:customStyle="1" w:styleId="QuoteBlock">
    <w:name w:val="Quote Block"/>
    <w:pPr>
      <w:spacing w:before="100" w:after="160"/>
      <w:ind w:left="360" w:right="360"/>
    </w:pPr>
    <w:rPr>
      <w:rFonts w:ascii="Aptos" w:hAnsi="Aptos"/>
      <w:i/>
      <w:color w:val="1F375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fondateur d’ouverture — Écosystème estudiantin du Burkina Faso</dc:title>
  <dc:subject>Intention, vision, monde à modéliser et programme d’études</dc:subject>
  <dc:creator>Document de travail</dc:creator>
  <cp:keywords>étudiants, Burkina Faso, écosystème, universités, UFR, filières, promotions, communautés, connaissances</cp:keywords>
  <dc:description>Document non normatif d’ouverture pour études approfondies.</dc:description>
  <cp:lastModifiedBy/>
  <cp:revision>1</cp:revision>
  <dcterms:created xsi:type="dcterms:W3CDTF">2013-12-23T23:15:00Z</dcterms:created>
  <dcterms:modified xsi:type="dcterms:W3CDTF">2013-12-23T23:15:00Z</dcterms:modified>
  <cp:category/>
</cp:coreProperties>
</file>