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2E75B6" w:sz="24"/>
        </w:pBdr>
        <w:spacing w:after="0" w:before="0"/>
      </w:pPr>
      <w:r>
        <w:rPr>
          <w:rFonts w:ascii="Arial" w:cs="Arial" w:eastAsia="Arial" w:hAnsi="Arial"/>
        </w:rPr>
        <w:t xml:space="preserve"/>
      </w:r>
    </w:p>
    <w:p>
      <w:pPr>
        <w:spacing w:after="60" w:before="60"/>
      </w:pPr>
      <w:r>
        <w:rPr>
          <w:rFonts w:ascii="Arial" w:cs="Arial" w:eastAsia="Arial" w:hAnsi="Arial"/>
        </w:rPr>
        <w:t xml:space="preserve"/>
      </w:r>
    </w:p>
    <w:p>
      <w:pPr>
        <w:spacing w:after="60" w:before="60"/>
      </w:pPr>
      <w:r>
        <w:rPr>
          <w:rFonts w:ascii="Arial" w:cs="Arial" w:eastAsia="Arial" w:hAnsi="Arial"/>
        </w:rPr>
        <w:t xml:space="preserve"/>
      </w:r>
    </w:p>
    <w:p>
      <w:pPr>
        <w:spacing w:after="60" w:before="60"/>
      </w:pPr>
      <w:r>
        <w:rPr>
          <w:rFonts w:ascii="Arial" w:cs="Arial" w:eastAsia="Arial" w:hAnsi="Arial"/>
        </w:rPr>
        <w:t xml:space="preserve"/>
      </w:r>
    </w:p>
    <w:p>
      <w:pPr>
        <w:spacing w:after="240" w:before="0"/>
        <w:jc w:val="center"/>
      </w:pPr>
      <w:r>
        <w:rPr>
          <w:rFonts w:ascii="Arial" w:cs="Arial" w:eastAsia="Arial" w:hAnsi="Arial"/>
          <w:b/>
          <w:bCs/>
          <w:color w:val="1A3A5C"/>
          <w:sz w:val="64"/>
          <w:szCs w:val="64"/>
        </w:rPr>
        <w:t xml:space="preserve">MaSecure</w:t>
      </w:r>
    </w:p>
    <w:p>
      <w:pPr>
        <w:spacing w:after="480" w:before="0"/>
        <w:jc w:val="center"/>
      </w:pPr>
      <w:r>
        <w:rPr>
          <w:rFonts w:ascii="Arial" w:cs="Arial" w:eastAsia="Arial" w:hAnsi="Arial"/>
          <w:i/>
          <w:iCs/>
          <w:color w:val="5A5A5A"/>
          <w:sz w:val="28"/>
          <w:szCs w:val="28"/>
        </w:rPr>
        <w:t xml:space="preserve">Infrastructure de Règlement Social Automatisé</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026"/>
            <w:tcBorders>
              <w:top w:val="single" w:color="2E75B6" w:sz="12"/>
              <w:left w:val="single" w:color="2E75B6" w:sz="12"/>
              <w:bottom w:val="single" w:color="2E75B6" w:sz="12"/>
              <w:right w:val="single" w:color="2E75B6" w:sz="12"/>
            </w:tcBorders>
            <w:shd w:fill="EAF3FB" w:val="clear"/>
            <w:tcMar>
              <w:top w:type="dxa" w:w="200"/>
              <w:left w:type="dxa" w:w="300"/>
              <w:bottom w:type="dxa" w:w="200"/>
              <w:right w:type="dxa" w:w="300"/>
            </w:tcMar>
          </w:tcPr>
          <w:p>
            <w:pPr>
              <w:spacing w:after="120" w:before="0"/>
              <w:jc w:val="center"/>
            </w:pPr>
            <w:r>
              <w:rPr>
                <w:rFonts w:ascii="Arial" w:cs="Arial" w:eastAsia="Arial" w:hAnsi="Arial"/>
                <w:b/>
                <w:bCs/>
                <w:color w:val="1A3A5C"/>
                <w:sz w:val="36"/>
                <w:szCs w:val="36"/>
              </w:rPr>
              <w:t xml:space="preserve">ANALYSE DE CONFORMITÉ &amp; RÉALIGNEMENT</w:t>
            </w:r>
          </w:p>
          <w:p>
            <w:pPr>
              <w:jc w:val="center"/>
            </w:pPr>
            <w:r>
              <w:rPr>
                <w:rFonts w:ascii="Arial" w:cs="Arial" w:eastAsia="Arial" w:hAnsi="Arial"/>
                <w:color w:val="2E75B6"/>
                <w:sz w:val="24"/>
                <w:szCs w:val="24"/>
              </w:rPr>
              <w:t xml:space="preserve">Validation des Phases 1 · 2 · 3 — Ajustements Documentaires</w:t>
            </w:r>
          </w:p>
        </w:tc>
      </w:tr>
    </w:tbl>
    <w:p>
      <w:pPr>
        <w:spacing w:after="60" w:before="60"/>
      </w:pPr>
      <w:r>
        <w:rPr>
          <w:rFonts w:ascii="Arial" w:cs="Arial" w:eastAsia="Arial" w:hAnsi="Arial"/>
        </w:rPr>
        <w:t xml:space="preserve"/>
      </w:r>
    </w:p>
    <w:p>
      <w:pPr>
        <w:spacing w:after="60" w:before="60"/>
      </w:pPr>
      <w:r>
        <w:rPr>
          <w:rFonts w:ascii="Arial" w:cs="Arial" w:eastAsia="Arial" w:hAnsi="Arial"/>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3000"/>
        <w:gridCol w:w="6026"/>
      </w:tblGrid>
      <w:tr>
        <w:tc>
          <w:tcPr>
            <w:tcW w:type="dxa" w:w="300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tcPr>
          <w:p>
            <w:r>
              <w:rPr>
                <w:rFonts w:ascii="Arial" w:cs="Arial" w:eastAsia="Arial" w:hAnsi="Arial"/>
                <w:b/>
                <w:bCs/>
                <w:color w:val="1A3A5C"/>
                <w:sz w:val="20"/>
                <w:szCs w:val="20"/>
              </w:rPr>
              <w:t xml:space="preserve">Version</w:t>
            </w:r>
          </w:p>
        </w:tc>
        <w:tc>
          <w:tcPr>
            <w:tcW w:type="dxa" w:w="6026"/>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1.0.0 — Révision post-implémentation</w:t>
            </w:r>
          </w:p>
        </w:tc>
      </w:tr>
      <w:tr>
        <w:tc>
          <w:tcPr>
            <w:tcW w:type="dxa" w:w="300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tcPr>
          <w:p>
            <w:r>
              <w:rPr>
                <w:rFonts w:ascii="Arial" w:cs="Arial" w:eastAsia="Arial" w:hAnsi="Arial"/>
                <w:b/>
                <w:bCs/>
                <w:color w:val="1A3A5C"/>
                <w:sz w:val="20"/>
                <w:szCs w:val="20"/>
              </w:rPr>
              <w:t xml:space="preserve">Date</w:t>
            </w:r>
          </w:p>
        </w:tc>
        <w:tc>
          <w:tcPr>
            <w:tcW w:type="dxa" w:w="6026"/>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Avril 2025</w:t>
            </w:r>
          </w:p>
        </w:tc>
      </w:tr>
      <w:tr>
        <w:tc>
          <w:tcPr>
            <w:tcW w:type="dxa" w:w="300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tcPr>
          <w:p>
            <w:r>
              <w:rPr>
                <w:rFonts w:ascii="Arial" w:cs="Arial" w:eastAsia="Arial" w:hAnsi="Arial"/>
                <w:b/>
                <w:bCs/>
                <w:color w:val="1A3A5C"/>
                <w:sz w:val="20"/>
                <w:szCs w:val="20"/>
              </w:rPr>
              <w:t xml:space="preserve">Statut</w:t>
            </w:r>
          </w:p>
        </w:tc>
        <w:tc>
          <w:tcPr>
            <w:tcW w:type="dxa" w:w="6026"/>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Analyse complète — Réalignement validé</w:t>
            </w:r>
          </w:p>
        </w:tc>
      </w:tr>
      <w:tr>
        <w:tc>
          <w:tcPr>
            <w:tcW w:type="dxa" w:w="300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tcPr>
          <w:p>
            <w:r>
              <w:rPr>
                <w:rFonts w:ascii="Arial" w:cs="Arial" w:eastAsia="Arial" w:hAnsi="Arial"/>
                <w:b/>
                <w:bCs/>
                <w:color w:val="1A3A5C"/>
                <w:sz w:val="20"/>
                <w:szCs w:val="20"/>
              </w:rPr>
              <w:t xml:space="preserve">Périmètre</w:t>
            </w:r>
          </w:p>
        </w:tc>
        <w:tc>
          <w:tcPr>
            <w:tcW w:type="dxa" w:w="6026"/>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Code source masecureb + CDC v1.0.0 + Cahier Technique v1.0.0</w:t>
            </w:r>
          </w:p>
        </w:tc>
      </w:tr>
      <w:tr>
        <w:tc>
          <w:tcPr>
            <w:tcW w:type="dxa" w:w="300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tcPr>
          <w:p>
            <w:r>
              <w:rPr>
                <w:rFonts w:ascii="Arial" w:cs="Arial" w:eastAsia="Arial" w:hAnsi="Arial"/>
                <w:b/>
                <w:bCs/>
                <w:color w:val="1A3A5C"/>
                <w:sz w:val="20"/>
                <w:szCs w:val="20"/>
              </w:rPr>
              <w:t xml:space="preserve">Auteur</w:t>
            </w:r>
          </w:p>
        </w:tc>
        <w:tc>
          <w:tcPr>
            <w:tcW w:type="dxa" w:w="6026"/>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Revue architecturale automatisée</w:t>
            </w:r>
          </w:p>
        </w:tc>
      </w:tr>
    </w:tbl>
    <w:p>
      <w:pPr>
        <w:spacing w:after="60" w:before="60"/>
      </w:pPr>
      <w:r>
        <w:rPr>
          <w:rFonts w:ascii="Arial" w:cs="Arial" w:eastAsia="Arial" w:hAnsi="Arial"/>
        </w:rPr>
        <w:t xml:space="preserve"/>
      </w:r>
    </w:p>
    <w:p>
      <w:pPr>
        <w:spacing w:after="60" w:before="60"/>
      </w:pPr>
      <w:r>
        <w:rPr>
          <w:rFonts w:ascii="Arial" w:cs="Arial" w:eastAsia="Arial" w:hAnsi="Arial"/>
        </w:rPr>
        <w:t xml:space="preserve"/>
      </w:r>
    </w:p>
    <w:p>
      <w:pPr>
        <w:spacing w:after="60" w:before="60"/>
      </w:pPr>
      <w:r>
        <w:rPr>
          <w:rFonts w:ascii="Arial" w:cs="Arial" w:eastAsia="Arial" w:hAnsi="Arial"/>
        </w:rPr>
        <w:t xml:space="preserve"/>
      </w:r>
    </w:p>
    <w:p>
      <w:pPr>
        <w:spacing w:after="60" w:before="60"/>
      </w:pPr>
      <w:r>
        <w:rPr>
          <w:rFonts w:ascii="Arial" w:cs="Arial" w:eastAsia="Arial" w:hAnsi="Arial"/>
        </w:rPr>
        <w:t xml:space="preserve"/>
      </w:r>
    </w:p>
    <w:p>
      <w:pPr>
        <w:pBdr>
          <w:bottom w:val="single" w:color="2E75B6" w:sz="6"/>
        </w:pBdr>
        <w:jc w:val="center"/>
      </w:pPr>
      <w:r>
        <w:rPr>
          <w:rFonts w:ascii="Arial" w:cs="Arial" w:eastAsia="Arial" w:hAnsi="Arial"/>
          <w:i/>
          <w:iCs/>
          <w:color w:val="5A5A5A"/>
          <w:sz w:val="18"/>
          <w:szCs w:val="18"/>
        </w:rPr>
        <w:t xml:space="preserve">Document généré depuis l'analyse du dépôt masecureb — Confidentiel</w:t>
      </w:r>
    </w:p>
    <w:p>
      <w:r>
        <w:br w:type="page"/>
      </w:r>
    </w:p>
    <w:p>
      <w:pPr>
        <w:pStyle w:val="Heading1"/>
        <w:spacing w:after="180" w:before="360"/>
      </w:pPr>
      <w:r>
        <w:rPr>
          <w:rFonts w:ascii="Arial" w:cs="Arial" w:eastAsia="Arial" w:hAnsi="Arial"/>
          <w:b/>
          <w:bCs/>
          <w:color w:val="1A3A5C"/>
          <w:sz w:val="32"/>
          <w:szCs w:val="32"/>
        </w:rPr>
        <w:t xml:space="preserve">1. Synthèse Exécutive</w:t>
      </w:r>
    </w:p>
    <w:p>
      <w:pPr>
        <w:spacing w:after="100" w:before="60"/>
      </w:pPr>
      <w:r>
        <w:rPr>
          <w:rFonts w:ascii="Arial" w:cs="Arial" w:eastAsia="Arial" w:hAnsi="Arial"/>
          <w:sz w:val="22"/>
          <w:szCs w:val="22"/>
        </w:rPr>
        <w:t xml:space="preserve">Ce document constitue le rapport d'analyse de conformité du dépôt masecureb par rapport aux spécifications du Cahier des Charges (CDC v1.0.0) et du Cahier Technique (CT v1.0.0) du projet MaSecure. Il valide l'état de chaque phase d'évolution, identifie les écarts entre documentation et implémentation, et formule les ajustements nécessaires pour aligner les trois documents de référence.</w:t>
      </w:r>
    </w:p>
    <w:p>
      <w:pPr>
        <w:spacing w:after="60" w:before="60"/>
      </w:pPr>
      <w:r>
        <w:rPr>
          <w:rFonts w:ascii="Arial" w:cs="Arial" w:eastAsia="Arial" w:hAnsi="Arial"/>
        </w:rPr>
        <w:t xml:space="preserve"/>
      </w:r>
    </w:p>
    <w:p>
      <w:pPr>
        <w:pStyle w:val="Heading2"/>
        <w:spacing w:after="120" w:before="280"/>
      </w:pPr>
      <w:r>
        <w:rPr>
          <w:rFonts w:ascii="Arial" w:cs="Arial" w:eastAsia="Arial" w:hAnsi="Arial"/>
          <w:b/>
          <w:bCs/>
          <w:color w:val="2E75B6"/>
          <w:sz w:val="26"/>
          <w:szCs w:val="26"/>
        </w:rPr>
        <w:t xml:space="preserve">1.1 Verdict global</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026"/>
            <w:tcBorders>
              <w:top w:val="none" w:color="FFFFFF" w:sz="0"/>
              <w:left w:val="single" w:color="2E75B6" w:sz="16"/>
              <w:bottom w:val="none" w:color="FFFFFF" w:sz="0"/>
              <w:right w:val="none" w:color="FFFFFF" w:sz="0"/>
            </w:tcBorders>
            <w:shd w:fill="EAF3FB" w:val="clear"/>
            <w:tcMar>
              <w:top w:type="dxa" w:w="100"/>
              <w:left w:type="dxa" w:w="200"/>
              <w:bottom w:type="dxa" w:w="100"/>
              <w:right w:type="dxa" w:w="200"/>
            </w:tcMar>
          </w:tcPr>
          <w:p>
            <w:r>
              <w:rPr>
                <w:rFonts w:ascii="Arial" w:cs="Arial" w:eastAsia="Arial" w:hAnsi="Arial"/>
                <w:color w:val="1A3A5C"/>
                <w:sz w:val="20"/>
                <w:szCs w:val="20"/>
              </w:rPr>
              <w:t xml:space="preserve">Le projet MaSecure présente un niveau d'implémentation supérieur à ce qu'indiquent les documents actuels. La Phase 1 est complète et validable. La Phase 2 est opérationnelle en local avec simulateur. La Phase 3 dispose d'un noyau fonctionnel non encore connecté à la persistance.</w:t>
            </w:r>
          </w:p>
        </w:tc>
      </w:tr>
    </w:tbl>
    <w:p>
      <w:pPr>
        <w:spacing w:after="60" w:before="6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2300"/>
        <w:gridCol w:w="3226"/>
      </w:tblGrid>
      <w:tr>
        <w:trPr>
          <w:tblHeader/>
        </w:trPr>
        <w:tc>
          <w:tcPr>
            <w:tcW w:type="dxa" w:w="10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Phase</w:t>
            </w:r>
          </w:p>
        </w:tc>
        <w:tc>
          <w:tcPr>
            <w:tcW w:type="dxa" w:w="25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Nom</w:t>
            </w:r>
          </w:p>
        </w:tc>
        <w:tc>
          <w:tcPr>
            <w:tcW w:type="dxa" w:w="23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Statut</w:t>
            </w:r>
          </w:p>
        </w:tc>
        <w:tc>
          <w:tcPr>
            <w:tcW w:type="dxa" w:w="3226"/>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Synthèse</w:t>
            </w:r>
          </w:p>
        </w:tc>
      </w:tr>
      <w:tr>
        <w:tc>
          <w:tcPr>
            <w:tcW w:type="dxa" w:w="1000"/>
            <w:tcBorders>
              <w:top w:val="single" w:color="CCCCCC" w:sz="4"/>
              <w:left w:val="single" w:color="CCCCCC" w:sz="4"/>
              <w:bottom w:val="single" w:color="CCCCCC" w:sz="4"/>
              <w:right w:val="single" w:color="CCCCCC" w:sz="4"/>
            </w:tcBorders>
            <w:shd w:fill="E8F5ED" w:val="clear"/>
            <w:tcMar>
              <w:top w:type="dxa" w:w="60"/>
              <w:left w:type="dxa" w:w="120"/>
              <w:bottom w:type="dxa" w:w="60"/>
              <w:right w:type="dxa" w:w="120"/>
            </w:tcMar>
          </w:tcPr>
          <w:p>
            <w:r>
              <w:rPr>
                <w:rFonts w:ascii="Arial" w:cs="Arial" w:eastAsia="Arial" w:hAnsi="Arial"/>
                <w:b/>
                <w:bCs/>
                <w:color w:val="1F6B3A"/>
                <w:sz w:val="20"/>
                <w:szCs w:val="20"/>
              </w:rPr>
              <w:t xml:space="preserve">Phase 1</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MVP Socle</w:t>
            </w:r>
          </w:p>
        </w:tc>
        <w:tc>
          <w:tcPr>
            <w:tcW w:type="dxa" w:w="2300"/>
            <w:tcBorders>
              <w:top w:val="single" w:color="CCCCCC" w:sz="4"/>
              <w:left w:val="single" w:color="CCCCCC" w:sz="4"/>
              <w:bottom w:val="single" w:color="CCCCCC" w:sz="4"/>
              <w:right w:val="single" w:color="CCCCCC" w:sz="4"/>
            </w:tcBorders>
            <w:shd w:fill="E8F5ED" w:val="clear"/>
            <w:tcMar>
              <w:top w:type="dxa" w:w="60"/>
              <w:left w:type="dxa" w:w="120"/>
              <w:bottom w:type="dxa" w:w="60"/>
              <w:right w:type="dxa" w:w="120"/>
            </w:tcMar>
          </w:tcPr>
          <w:p>
            <w:r>
              <w:rPr>
                <w:rFonts w:ascii="Arial" w:cs="Arial" w:eastAsia="Arial" w:hAnsi="Arial"/>
                <w:b/>
                <w:bCs/>
                <w:color w:val="1F6B3A"/>
                <w:sz w:val="20"/>
                <w:szCs w:val="20"/>
              </w:rPr>
              <w:t xml:space="preserve">VALIDÉE ✓</w:t>
            </w:r>
          </w:p>
        </w:tc>
        <w:tc>
          <w:tcPr>
            <w:tcW w:type="dxa" w:w="32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A5A5A"/>
                <w:sz w:val="20"/>
                <w:szCs w:val="20"/>
              </w:rPr>
              <w:t xml:space="preserve">Réserve mineure : notifications effectives non activées</w:t>
            </w:r>
          </w:p>
        </w:tc>
      </w:tr>
      <w:tr>
        <w:tc>
          <w:tcPr>
            <w:tcW w:type="dxa" w:w="1000"/>
            <w:tcBorders>
              <w:top w:val="single" w:color="CCCCCC" w:sz="4"/>
              <w:left w:val="single" w:color="CCCCCC" w:sz="4"/>
              <w:bottom w:val="single" w:color="CCCCCC" w:sz="4"/>
              <w:right w:val="single" w:color="CCCCCC" w:sz="4"/>
            </w:tcBorders>
            <w:shd w:fill="FFF8E6" w:val="clear"/>
            <w:tcMar>
              <w:top w:type="dxa" w:w="60"/>
              <w:left w:type="dxa" w:w="120"/>
              <w:bottom w:type="dxa" w:w="60"/>
              <w:right w:type="dxa" w:w="120"/>
            </w:tcMar>
          </w:tcPr>
          <w:p>
            <w:r>
              <w:rPr>
                <w:rFonts w:ascii="Arial" w:cs="Arial" w:eastAsia="Arial" w:hAnsi="Arial"/>
                <w:b/>
                <w:bCs/>
                <w:color w:val="8B5E00"/>
                <w:sz w:val="20"/>
                <w:szCs w:val="20"/>
              </w:rPr>
              <w:t xml:space="preserve">Phase 2</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Paiement Mobile Money</w:t>
            </w:r>
          </w:p>
        </w:tc>
        <w:tc>
          <w:tcPr>
            <w:tcW w:type="dxa" w:w="2300"/>
            <w:tcBorders>
              <w:top w:val="single" w:color="CCCCCC" w:sz="4"/>
              <w:left w:val="single" w:color="CCCCCC" w:sz="4"/>
              <w:bottom w:val="single" w:color="CCCCCC" w:sz="4"/>
              <w:right w:val="single" w:color="CCCCCC" w:sz="4"/>
            </w:tcBorders>
            <w:shd w:fill="FFF8E6" w:val="clear"/>
            <w:tcMar>
              <w:top w:type="dxa" w:w="60"/>
              <w:left w:type="dxa" w:w="120"/>
              <w:bottom w:type="dxa" w:w="60"/>
              <w:right w:type="dxa" w:w="120"/>
            </w:tcMar>
          </w:tcPr>
          <w:p>
            <w:r>
              <w:rPr>
                <w:rFonts w:ascii="Arial" w:cs="Arial" w:eastAsia="Arial" w:hAnsi="Arial"/>
                <w:b/>
                <w:bCs/>
                <w:color w:val="8B5E00"/>
                <w:sz w:val="20"/>
                <w:szCs w:val="20"/>
              </w:rPr>
              <w:t xml:space="preserve">VALIDÉE LOCALEMENT ✓</w:t>
            </w:r>
          </w:p>
        </w:tc>
        <w:tc>
          <w:tcPr>
            <w:tcW w:type="dxa" w:w="32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A5A5A"/>
                <w:sz w:val="20"/>
                <w:szCs w:val="20"/>
              </w:rPr>
              <w:t xml:space="preserve">Simulateur validé — agrégateur réel à intégrer</w:t>
            </w:r>
          </w:p>
        </w:tc>
      </w:tr>
      <w:tr>
        <w:tc>
          <w:tcPr>
            <w:tcW w:type="dxa" w:w="1000"/>
            <w:tcBorders>
              <w:top w:val="single" w:color="CCCCCC" w:sz="4"/>
              <w:left w:val="single" w:color="CCCCCC" w:sz="4"/>
              <w:bottom w:val="single" w:color="CCCCCC" w:sz="4"/>
              <w:right w:val="single" w:color="CCCCCC" w:sz="4"/>
            </w:tcBorders>
            <w:shd w:fill="EAF3FB" w:val="clear"/>
            <w:tcMar>
              <w:top w:type="dxa" w:w="60"/>
              <w:left w:type="dxa" w:w="120"/>
              <w:bottom w:type="dxa" w:w="60"/>
              <w:right w:type="dxa" w:w="120"/>
            </w:tcMar>
          </w:tcPr>
          <w:p>
            <w:r>
              <w:rPr>
                <w:rFonts w:ascii="Arial" w:cs="Arial" w:eastAsia="Arial" w:hAnsi="Arial"/>
                <w:b/>
                <w:bCs/>
                <w:color w:val="2E75B6"/>
                <w:sz w:val="20"/>
                <w:szCs w:val="20"/>
              </w:rPr>
              <w:t xml:space="preserve">Phase 3</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Gouvernance</w:t>
            </w:r>
          </w:p>
        </w:tc>
        <w:tc>
          <w:tcPr>
            <w:tcW w:type="dxa" w:w="2300"/>
            <w:tcBorders>
              <w:top w:val="single" w:color="CCCCCC" w:sz="4"/>
              <w:left w:val="single" w:color="CCCCCC" w:sz="4"/>
              <w:bottom w:val="single" w:color="CCCCCC" w:sz="4"/>
              <w:right w:val="single" w:color="CCCCCC" w:sz="4"/>
            </w:tcBorders>
            <w:shd w:fill="EAF3FB" w:val="clear"/>
            <w:tcMar>
              <w:top w:type="dxa" w:w="60"/>
              <w:left w:type="dxa" w:w="120"/>
              <w:bottom w:type="dxa" w:w="60"/>
              <w:right w:type="dxa" w:w="120"/>
            </w:tcMar>
          </w:tcPr>
          <w:p>
            <w:r>
              <w:rPr>
                <w:rFonts w:ascii="Arial" w:cs="Arial" w:eastAsia="Arial" w:hAnsi="Arial"/>
                <w:b/>
                <w:bCs/>
                <w:color w:val="2E75B6"/>
                <w:sz w:val="20"/>
                <w:szCs w:val="20"/>
              </w:rPr>
              <w:t xml:space="preserve">EN PRÉPARATION ⚡</w:t>
            </w:r>
          </w:p>
        </w:tc>
        <w:tc>
          <w:tcPr>
            <w:tcW w:type="dxa" w:w="32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A5A5A"/>
                <w:sz w:val="20"/>
                <w:szCs w:val="20"/>
              </w:rPr>
              <w:t xml:space="preserve">Module Go complet — persistance PostgreSQL manquante</w:t>
            </w:r>
          </w:p>
        </w:tc>
      </w:tr>
    </w:tbl>
    <w:p>
      <w:pPr>
        <w:spacing w:after="60" w:before="60"/>
      </w:pPr>
      <w:r>
        <w:rPr>
          <w:rFonts w:ascii="Arial" w:cs="Arial" w:eastAsia="Arial" w:hAnsi="Arial"/>
        </w:rPr>
        <w:t xml:space="preserve"/>
      </w:r>
    </w:p>
    <w:p>
      <w:pPr>
        <w:pStyle w:val="Heading2"/>
        <w:spacing w:after="120" w:before="280"/>
      </w:pPr>
      <w:r>
        <w:rPr>
          <w:rFonts w:ascii="Arial" w:cs="Arial" w:eastAsia="Arial" w:hAnsi="Arial"/>
          <w:b/>
          <w:bCs/>
          <w:color w:val="2E75B6"/>
          <w:sz w:val="26"/>
          <w:szCs w:val="26"/>
        </w:rPr>
        <w:t xml:space="preserve">1.2 Architecture globale — Conformité</w:t>
      </w:r>
    </w:p>
    <w:p>
      <w:pPr>
        <w:spacing w:after="100" w:before="60"/>
      </w:pPr>
      <w:r>
        <w:rPr>
          <w:rFonts w:ascii="Arial" w:cs="Arial" w:eastAsia="Arial" w:hAnsi="Arial"/>
          <w:sz w:val="22"/>
          <w:szCs w:val="22"/>
        </w:rPr>
        <w:t xml:space="preserve">L'architecture en triple isolation (Gateway Communication → Service Social → Kernel Financier) est respectée dans le code. La règle fondamentale de sécurité — l'interface ne peut que proposer, le kernel seul peut engager des fonds — est vérifiable architecturalement :</w:t>
      </w:r>
    </w:p>
    <w:p>
      <w:pPr>
        <w:pStyle w:val="ListParagraph"/>
        <w:numPr>
          <w:ilvl w:val="0"/>
          <w:numId w:val="2"/>
        </w:numPr>
        <w:spacing w:after="40" w:before="40"/>
      </w:pPr>
      <w:r>
        <w:rPr>
          <w:rFonts w:ascii="Arial" w:cs="Arial" w:eastAsia="Arial" w:hAnsi="Arial"/>
          <w:sz w:val="20"/>
          <w:szCs w:val="20"/>
        </w:rPr>
        <w:t xml:space="preserve">Le gateway WhatsApp ne produit que des UserIntent (5 types définis, aucun PayoutCommand accessible)</w:t>
      </w:r>
    </w:p>
    <w:p>
      <w:pPr>
        <w:pStyle w:val="ListParagraph"/>
        <w:numPr>
          <w:ilvl w:val="0"/>
          <w:numId w:val="2"/>
        </w:numPr>
        <w:spacing w:after="40" w:before="40"/>
      </w:pPr>
      <w:r>
        <w:rPr>
          <w:rFonts w:ascii="Arial" w:cs="Arial" w:eastAsia="Arial" w:hAnsi="Arial"/>
          <w:sz w:val="20"/>
          <w:szCs w:val="20"/>
        </w:rPr>
        <w:t xml:space="preserve">Le kernel Rust est le seul service possédant les logiques de PayoutCommand et les accès aux clés Mobile Money</w:t>
      </w:r>
    </w:p>
    <w:p>
      <w:pPr>
        <w:pStyle w:val="ListParagraph"/>
        <w:numPr>
          <w:ilvl w:val="0"/>
          <w:numId w:val="2"/>
        </w:numPr>
        <w:spacing w:after="40" w:before="40"/>
      </w:pPr>
      <w:r>
        <w:rPr>
          <w:rFonts w:ascii="Arial" w:cs="Arial" w:eastAsia="Arial" w:hAnsi="Arial"/>
          <w:sz w:val="20"/>
          <w:szCs w:val="20"/>
        </w:rPr>
        <w:t xml:space="preserve">Le Service Social (governance) ne peut qu'alimenter des intentions, jamais déclencher de paiements</w:t>
      </w:r>
    </w:p>
    <w:p>
      <w:pPr>
        <w:spacing w:after="60" w:before="60"/>
      </w:pPr>
      <w:r>
        <w:rPr>
          <w:rFonts w:ascii="Arial" w:cs="Arial" w:eastAsia="Arial" w:hAnsi="Arial"/>
        </w:rPr>
        <w:t xml:space="preserve"/>
      </w:r>
    </w:p>
    <w:p>
      <w:r>
        <w:br w:type="page"/>
      </w:r>
    </w:p>
    <w:p>
      <w:pPr>
        <w:pStyle w:val="Heading1"/>
        <w:spacing w:after="180" w:before="360"/>
      </w:pPr>
      <w:r>
        <w:rPr>
          <w:rFonts w:ascii="Arial" w:cs="Arial" w:eastAsia="Arial" w:hAnsi="Arial"/>
          <w:b/>
          <w:bCs/>
          <w:color w:val="1A3A5C"/>
          <w:sz w:val="32"/>
          <w:szCs w:val="32"/>
        </w:rPr>
        <w:t xml:space="preserve">2. Phase 1 — MVP Socle</w:t>
      </w:r>
    </w:p>
    <w:p>
      <w:pPr>
        <w:pStyle w:val="Heading2"/>
        <w:spacing w:after="120" w:before="280"/>
      </w:pPr>
      <w:r>
        <w:rPr>
          <w:rFonts w:ascii="Arial" w:cs="Arial" w:eastAsia="Arial" w:hAnsi="Arial"/>
          <w:b/>
          <w:bCs/>
          <w:color w:val="2E75B6"/>
          <w:sz w:val="26"/>
          <w:szCs w:val="26"/>
        </w:rPr>
        <w:t xml:space="preserve">2.1 Définition documentaire (CDC §8.1)</w:t>
      </w:r>
    </w:p>
    <w:p>
      <w:pPr>
        <w:spacing w:after="100" w:before="60"/>
      </w:pPr>
      <w:r>
        <w:rPr>
          <w:rFonts w:ascii="Arial" w:cs="Arial" w:eastAsia="Arial" w:hAnsi="Arial"/>
          <w:sz w:val="22"/>
          <w:szCs w:val="22"/>
        </w:rPr>
        <w:t xml:space="preserve">Périmètre CDC : Identité UUID, wallet binding, cycle fixe, ledger append-only, outbox, notifications basiques.</w:t>
      </w:r>
    </w:p>
    <w:p>
      <w:pPr>
        <w:spacing w:after="100" w:before="60"/>
      </w:pPr>
      <w:r>
        <w:rPr>
          <w:rFonts w:ascii="Arial" w:cs="Arial" w:eastAsia="Arial" w:hAnsi="Arial"/>
          <w:sz w:val="22"/>
          <w:szCs w:val="22"/>
        </w:rPr>
        <w:t xml:space="preserve">Critère de sortie CDC : Premier cycle de tontine complet audité, zéro double paiement constaté.</w:t>
      </w:r>
    </w:p>
    <w:p>
      <w:pPr>
        <w:spacing w:after="100" w:before="60"/>
      </w:pPr>
      <w:r>
        <w:rPr>
          <w:rFonts w:ascii="Arial" w:cs="Arial" w:eastAsia="Arial" w:hAnsi="Arial"/>
          <w:sz w:val="22"/>
          <w:szCs w:val="22"/>
        </w:rPr>
        <w:t xml:space="preserve">Durée estimée CDC : 8 semaines.</w:t>
      </w:r>
    </w:p>
    <w:p>
      <w:pPr>
        <w:spacing w:after="60" w:before="60"/>
      </w:pPr>
      <w:r>
        <w:rPr>
          <w:rFonts w:ascii="Arial" w:cs="Arial" w:eastAsia="Arial" w:hAnsi="Arial"/>
        </w:rPr>
        <w:t xml:space="preserve"/>
      </w:r>
    </w:p>
    <w:p>
      <w:pPr>
        <w:pStyle w:val="Heading2"/>
        <w:spacing w:after="120" w:before="280"/>
      </w:pPr>
      <w:r>
        <w:rPr>
          <w:rFonts w:ascii="Arial" w:cs="Arial" w:eastAsia="Arial" w:hAnsi="Arial"/>
          <w:b/>
          <w:bCs/>
          <w:color w:val="2E75B6"/>
          <w:sz w:val="26"/>
          <w:szCs w:val="26"/>
        </w:rPr>
        <w:t xml:space="preserve">2.2 État de l'implémentation — Analyse détaillée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400"/>
        <w:gridCol w:w="3226"/>
      </w:tblGrid>
      <w:tr>
        <w:trPr>
          <w:tblHeader/>
        </w:trPr>
        <w:tc>
          <w:tcPr>
            <w:tcW w:type="dxa" w:w="20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Composant</w:t>
            </w:r>
          </w:p>
        </w:tc>
        <w:tc>
          <w:tcPr>
            <w:tcW w:type="dxa" w:w="24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14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État</w:t>
            </w:r>
          </w:p>
        </w:tc>
        <w:tc>
          <w:tcPr>
            <w:tcW w:type="dxa" w:w="3226"/>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Détail</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Kernel Rust
(domain/cycle.rs)</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Automate d'état déterministe, evaluate_payout_eligibility, transitions</w:t>
            </w:r>
          </w:p>
        </w:tc>
        <w:tc>
          <w:tcPr>
            <w:tcW w:type="dxa" w:w="1400"/>
            <w:tcBorders>
              <w:top w:val="single" w:color="CCCCCC" w:sz="4"/>
              <w:left w:val="single" w:color="CCCCCC" w:sz="4"/>
              <w:bottom w:val="single" w:color="CCCCCC" w:sz="4"/>
              <w:right w:val="single" w:color="CCCCCC" w:sz="4"/>
            </w:tcBorders>
            <w:shd w:fill="E8F5ED" w:val="clear"/>
            <w:tcMar>
              <w:top w:type="dxa" w:w="60"/>
              <w:left w:type="dxa" w:w="120"/>
              <w:bottom w:type="dxa" w:w="60"/>
              <w:right w:type="dxa" w:w="120"/>
            </w:tcMar>
          </w:tcPr>
          <w:p>
            <w:r>
              <w:rPr>
                <w:rFonts w:ascii="Arial" w:cs="Arial" w:eastAsia="Arial" w:hAnsi="Arial"/>
                <w:b w:val="false"/>
                <w:bCs w:val="false"/>
                <w:color w:val="222222"/>
                <w:sz w:val="19"/>
                <w:szCs w:val="19"/>
              </w:rPr>
              <w:t xml:space="preserve">✅ Complet</w:t>
            </w:r>
          </w:p>
        </w:tc>
        <w:tc>
          <w:tcPr>
            <w:tcW w:type="dxa" w:w="32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4 invariants vérifiés séquentiellement. 4 tests unitaires. mark_payout_triggered, _confirmed, _failed implémentés.</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Kernel Rust
(domain/ledger.rs)</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Ledger append-only, LedgerEntryBuilder, verify_chain()</w:t>
            </w:r>
          </w:p>
        </w:tc>
        <w:tc>
          <w:tcPr>
            <w:tcW w:type="dxa" w:w="1400"/>
            <w:tcBorders>
              <w:top w:val="single" w:color="CCCCCC" w:sz="4"/>
              <w:left w:val="single" w:color="CCCCCC" w:sz="4"/>
              <w:bottom w:val="single" w:color="CCCCCC" w:sz="4"/>
              <w:right w:val="single" w:color="CCCCCC" w:sz="4"/>
            </w:tcBorders>
            <w:shd w:fill="E8F5ED" w:val="clear"/>
            <w:tcMar>
              <w:top w:type="dxa" w:w="60"/>
              <w:left w:type="dxa" w:w="120"/>
              <w:bottom w:type="dxa" w:w="60"/>
              <w:right w:type="dxa" w:w="120"/>
            </w:tcMar>
          </w:tcPr>
          <w:p>
            <w:r>
              <w:rPr>
                <w:rFonts w:ascii="Arial" w:cs="Arial" w:eastAsia="Arial" w:hAnsi="Arial"/>
                <w:b w:val="false"/>
                <w:bCs w:val="false"/>
                <w:color w:val="222222"/>
                <w:sz w:val="19"/>
                <w:szCs w:val="19"/>
              </w:rPr>
              <w:t xml:space="preserve">✅ Complet</w:t>
            </w:r>
          </w:p>
        </w:tc>
        <w:tc>
          <w:tcPr>
            <w:tcW w:type="dxa" w:w="32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Chaîne SHA-256 avec seq_no||event_type||payload_hash||prev_hash. Vérificateur O(n). 2 tests unitaires (chain_valid + tampered).</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Kernel Rust
(application/contribution_service.rs)</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Traitement callback, réconciliation, quarantaine, idempotence</w:t>
            </w:r>
          </w:p>
        </w:tc>
        <w:tc>
          <w:tcPr>
            <w:tcW w:type="dxa" w:w="1400"/>
            <w:tcBorders>
              <w:top w:val="single" w:color="CCCCCC" w:sz="4"/>
              <w:left w:val="single" w:color="CCCCCC" w:sz="4"/>
              <w:bottom w:val="single" w:color="CCCCCC" w:sz="4"/>
              <w:right w:val="single" w:color="CCCCCC" w:sz="4"/>
            </w:tcBorders>
            <w:shd w:fill="E8F5ED" w:val="clear"/>
            <w:tcMar>
              <w:top w:type="dxa" w:w="60"/>
              <w:left w:type="dxa" w:w="120"/>
              <w:bottom w:type="dxa" w:w="60"/>
              <w:right w:type="dxa" w:w="120"/>
            </w:tcMar>
          </w:tcPr>
          <w:p>
            <w:r>
              <w:rPr>
                <w:rFonts w:ascii="Arial" w:cs="Arial" w:eastAsia="Arial" w:hAnsi="Arial"/>
                <w:b w:val="false"/>
                <w:bCs w:val="false"/>
                <w:color w:val="222222"/>
                <w:sz w:val="19"/>
                <w:szCs w:val="19"/>
              </w:rPr>
              <w:t xml:space="preserve">✅ Complet</w:t>
            </w:r>
          </w:p>
        </w:tc>
        <w:tc>
          <w:tcPr>
            <w:tcW w:type="dxa" w:w="32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handle_callback(), reconcile_contribution(), quarantine_contribution(). Idempotence double garantie : provider_tx_ref UNIQUE + ledger idempotency_key.</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Kernel Rust
(application/payout_service.rs)</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Évaluation payout, initiation atomique, confirmation, échec</w:t>
            </w:r>
          </w:p>
        </w:tc>
        <w:tc>
          <w:tcPr>
            <w:tcW w:type="dxa" w:w="1400"/>
            <w:tcBorders>
              <w:top w:val="single" w:color="CCCCCC" w:sz="4"/>
              <w:left w:val="single" w:color="CCCCCC" w:sz="4"/>
              <w:bottom w:val="single" w:color="CCCCCC" w:sz="4"/>
              <w:right w:val="single" w:color="CCCCCC" w:sz="4"/>
            </w:tcBorders>
            <w:shd w:fill="E8F5ED" w:val="clear"/>
            <w:tcMar>
              <w:top w:type="dxa" w:w="60"/>
              <w:left w:type="dxa" w:w="120"/>
              <w:bottom w:type="dxa" w:w="60"/>
              <w:right w:type="dxa" w:w="120"/>
            </w:tcMar>
          </w:tcPr>
          <w:p>
            <w:r>
              <w:rPr>
                <w:rFonts w:ascii="Arial" w:cs="Arial" w:eastAsia="Arial" w:hAnsi="Arial"/>
                <w:b w:val="false"/>
                <w:bCs w:val="false"/>
                <w:color w:val="222222"/>
                <w:sz w:val="19"/>
                <w:szCs w:val="19"/>
              </w:rPr>
              <w:t xml:space="preserve">✅ Complet</w:t>
            </w:r>
          </w:p>
        </w:tc>
        <w:tc>
          <w:tcPr>
            <w:tcW w:type="dxa" w:w="32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run_payout_evaluation(), initiate_payout() atomique (ledger+outbox+cycle en 1 tx), confirm_payout(), fail_payout(). Idempotence sur AlreadyConfirmed/AlreadyFailed.</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API Gateway Go
(api/handlers/)</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Validation HMAC + forwarding callbacks vers kernel</w:t>
            </w:r>
          </w:p>
        </w:tc>
        <w:tc>
          <w:tcPr>
            <w:tcW w:type="dxa" w:w="1400"/>
            <w:tcBorders>
              <w:top w:val="single" w:color="CCCCCC" w:sz="4"/>
              <w:left w:val="single" w:color="CCCCCC" w:sz="4"/>
              <w:bottom w:val="single" w:color="CCCCCC" w:sz="4"/>
              <w:right w:val="single" w:color="CCCCCC" w:sz="4"/>
            </w:tcBorders>
            <w:shd w:fill="E8F5ED" w:val="clear"/>
            <w:tcMar>
              <w:top w:type="dxa" w:w="60"/>
              <w:left w:type="dxa" w:w="120"/>
              <w:bottom w:type="dxa" w:w="60"/>
              <w:right w:type="dxa" w:w="120"/>
            </w:tcMar>
          </w:tcPr>
          <w:p>
            <w:r>
              <w:rPr>
                <w:rFonts w:ascii="Arial" w:cs="Arial" w:eastAsia="Arial" w:hAnsi="Arial"/>
                <w:b w:val="false"/>
                <w:bCs w:val="false"/>
                <w:color w:val="222222"/>
                <w:sz w:val="19"/>
                <w:szCs w:val="19"/>
              </w:rPr>
              <w:t xml:space="preserve">✅ Complet</w:t>
            </w:r>
          </w:p>
        </w:tc>
        <w:tc>
          <w:tcPr>
            <w:tcW w:type="dxa" w:w="32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callback_handler.go + payout_callback_handler.go avec adaptateurs provider-specific. Validation HMAC-SHA256 systématique.</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Outbox Worker Go
(outbox/)</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Polling + retry exponentiel + dispatch Mobile Money</w:t>
            </w:r>
          </w:p>
        </w:tc>
        <w:tc>
          <w:tcPr>
            <w:tcW w:type="dxa" w:w="1400"/>
            <w:tcBorders>
              <w:top w:val="single" w:color="CCCCCC" w:sz="4"/>
              <w:left w:val="single" w:color="CCCCCC" w:sz="4"/>
              <w:bottom w:val="single" w:color="CCCCCC" w:sz="4"/>
              <w:right w:val="single" w:color="CCCCCC" w:sz="4"/>
            </w:tcBorders>
            <w:shd w:fill="E8F5ED" w:val="clear"/>
            <w:tcMar>
              <w:top w:type="dxa" w:w="60"/>
              <w:left w:type="dxa" w:w="120"/>
              <w:bottom w:type="dxa" w:w="60"/>
              <w:right w:type="dxa" w:w="120"/>
            </w:tcMar>
          </w:tcPr>
          <w:p>
            <w:r>
              <w:rPr>
                <w:rFonts w:ascii="Arial" w:cs="Arial" w:eastAsia="Arial" w:hAnsi="Arial"/>
                <w:b w:val="false"/>
                <w:bCs w:val="false"/>
                <w:color w:val="222222"/>
                <w:sz w:val="19"/>
                <w:szCs w:val="19"/>
              </w:rPr>
              <w:t xml:space="preserve">✅ Complet</w:t>
            </w:r>
          </w:p>
        </w:tc>
        <w:tc>
          <w:tcPr>
            <w:tcW w:type="dxa" w:w="32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Mode mock (Phase 1) : référence déterministe + confirmation automatique via endpoint interne. Retry avec backoff configurable.</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Gateway WhatsApp
(gateway/whatsapp/handler.go)</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Parsing webhooks Meta, production UserIntent uniquement</w:t>
            </w:r>
          </w:p>
        </w:tc>
        <w:tc>
          <w:tcPr>
            <w:tcW w:type="dxa" w:w="1400"/>
            <w:tcBorders>
              <w:top w:val="single" w:color="CCCCCC" w:sz="4"/>
              <w:left w:val="single" w:color="CCCCCC" w:sz="4"/>
              <w:bottom w:val="single" w:color="CCCCCC" w:sz="4"/>
              <w:right w:val="single" w:color="CCCCCC" w:sz="4"/>
            </w:tcBorders>
            <w:shd w:fill="E8F5ED" w:val="clear"/>
            <w:tcMar>
              <w:top w:type="dxa" w:w="60"/>
              <w:left w:type="dxa" w:w="120"/>
              <w:bottom w:type="dxa" w:w="60"/>
              <w:right w:type="dxa" w:w="120"/>
            </w:tcMar>
          </w:tcPr>
          <w:p>
            <w:r>
              <w:rPr>
                <w:rFonts w:ascii="Arial" w:cs="Arial" w:eastAsia="Arial" w:hAnsi="Arial"/>
                <w:b w:val="false"/>
                <w:bCs w:val="false"/>
                <w:color w:val="222222"/>
                <w:sz w:val="19"/>
                <w:szCs w:val="19"/>
              </w:rPr>
              <w:t xml:space="preserve">✅ Complet</w:t>
            </w:r>
          </w:p>
        </w:tc>
        <w:tc>
          <w:tcPr>
            <w:tcW w:type="dxa" w:w="32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7 types d'intent définis. Vérification HMAC Meta. IntentChannel pour découplage. Aucun accès aux clés MM.</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Migrations SQL
(migrations/ 001-007)</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Schéma complet : identités, groupes, cycles, ledger, outbox, contributions</w:t>
            </w:r>
          </w:p>
        </w:tc>
        <w:tc>
          <w:tcPr>
            <w:tcW w:type="dxa" w:w="1400"/>
            <w:tcBorders>
              <w:top w:val="single" w:color="CCCCCC" w:sz="4"/>
              <w:left w:val="single" w:color="CCCCCC" w:sz="4"/>
              <w:bottom w:val="single" w:color="CCCCCC" w:sz="4"/>
              <w:right w:val="single" w:color="CCCCCC" w:sz="4"/>
            </w:tcBorders>
            <w:shd w:fill="E8F5ED" w:val="clear"/>
            <w:tcMar>
              <w:top w:type="dxa" w:w="60"/>
              <w:left w:type="dxa" w:w="120"/>
              <w:bottom w:type="dxa" w:w="60"/>
              <w:right w:type="dxa" w:w="120"/>
            </w:tcMar>
          </w:tcPr>
          <w:p>
            <w:r>
              <w:rPr>
                <w:rFonts w:ascii="Arial" w:cs="Arial" w:eastAsia="Arial" w:hAnsi="Arial"/>
                <w:b w:val="false"/>
                <w:bCs w:val="false"/>
                <w:color w:val="222222"/>
                <w:sz w:val="19"/>
                <w:szCs w:val="19"/>
              </w:rPr>
              <w:t xml:space="preserve">✅ Complet
+ bonus</w:t>
            </w:r>
          </w:p>
        </w:tc>
        <w:tc>
          <w:tcPr>
            <w:tcW w:type="dxa" w:w="32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7 migrations (la 007 non présente dans CT). Triggers d'immuabilité sur cycles et ledger. Vue payout_eligible_cycles.</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Vérificateur Ledger
(kernel/src/bin/verify_ledger.rs)</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Commande standalone de vérification de la chaîne de hachages</w:t>
            </w:r>
          </w:p>
        </w:tc>
        <w:tc>
          <w:tcPr>
            <w:tcW w:type="dxa" w:w="1400"/>
            <w:tcBorders>
              <w:top w:val="single" w:color="CCCCCC" w:sz="4"/>
              <w:left w:val="single" w:color="CCCCCC" w:sz="4"/>
              <w:bottom w:val="single" w:color="CCCCCC" w:sz="4"/>
              <w:right w:val="single" w:color="CCCCCC" w:sz="4"/>
            </w:tcBorders>
            <w:shd w:fill="E8F5ED" w:val="clear"/>
            <w:tcMar>
              <w:top w:type="dxa" w:w="60"/>
              <w:left w:type="dxa" w:w="120"/>
              <w:bottom w:type="dxa" w:w="60"/>
              <w:right w:type="dxa" w:w="120"/>
            </w:tcMar>
          </w:tcPr>
          <w:p>
            <w:r>
              <w:rPr>
                <w:rFonts w:ascii="Arial" w:cs="Arial" w:eastAsia="Arial" w:hAnsi="Arial"/>
                <w:b w:val="false"/>
                <w:bCs w:val="false"/>
                <w:color w:val="222222"/>
                <w:sz w:val="19"/>
                <w:szCs w:val="19"/>
              </w:rPr>
              <w:t xml:space="preserve">✅ Complet</w:t>
            </w:r>
          </w:p>
        </w:tc>
        <w:tc>
          <w:tcPr>
            <w:tcW w:type="dxa" w:w="32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make verify-ledger opérationnel. IntegrityReport avec violations détaillées (HashMismatch, ChainBreak, SequenceGap).</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Notifications basiques</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Confirmation cotisation, alerte échéance, notification versement</w:t>
            </w:r>
          </w:p>
        </w:tc>
        <w:tc>
          <w:tcPr>
            <w:tcW w:type="dxa" w:w="1400"/>
            <w:tcBorders>
              <w:top w:val="single" w:color="CCCCCC" w:sz="4"/>
              <w:left w:val="single" w:color="CCCCCC" w:sz="4"/>
              <w:bottom w:val="single" w:color="CCCCCC" w:sz="4"/>
              <w:right w:val="single" w:color="CCCCCC" w:sz="4"/>
            </w:tcBorders>
            <w:shd w:fill="FFF8E6" w:val="clear"/>
            <w:tcMar>
              <w:top w:type="dxa" w:w="60"/>
              <w:left w:type="dxa" w:w="120"/>
              <w:bottom w:type="dxa" w:w="60"/>
              <w:right w:type="dxa" w:w="120"/>
            </w:tcMar>
          </w:tcPr>
          <w:p>
            <w:r>
              <w:rPr>
                <w:rFonts w:ascii="Arial" w:cs="Arial" w:eastAsia="Arial" w:hAnsi="Arial"/>
                <w:b w:val="false"/>
                <w:bCs w:val="false"/>
                <w:color w:val="222222"/>
                <w:sz w:val="19"/>
                <w:szCs w:val="19"/>
              </w:rPr>
              <w:t xml:space="preserve">⚠️ Partiel</w:t>
            </w:r>
          </w:p>
        </w:tc>
        <w:tc>
          <w:tcPr>
            <w:tcW w:type="dxa" w:w="32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Logs structurés (tracing) présents. Notifications WhatsApp/SMS effectives non activées — le canal NATS est configuré mais la connexion gateway→notifications n'est pas opérationnelle en Phase 1.</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Service Social</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Gestion membres, configurations, groupes</w:t>
            </w:r>
          </w:p>
        </w:tc>
        <w:tc>
          <w:tcPr>
            <w:tcW w:type="dxa" w:w="1400"/>
            <w:tcBorders>
              <w:top w:val="single" w:color="CCCCCC" w:sz="4"/>
              <w:left w:val="single" w:color="CCCCCC" w:sz="4"/>
              <w:bottom w:val="single" w:color="CCCCCC" w:sz="4"/>
              <w:right w:val="single" w:color="CCCCCC" w:sz="4"/>
            </w:tcBorders>
            <w:shd w:fill="FFF8E6" w:val="clear"/>
            <w:tcMar>
              <w:top w:type="dxa" w:w="60"/>
              <w:left w:type="dxa" w:w="120"/>
              <w:bottom w:type="dxa" w:w="60"/>
              <w:right w:type="dxa" w:w="120"/>
            </w:tcMar>
          </w:tcPr>
          <w:p>
            <w:r>
              <w:rPr>
                <w:rFonts w:ascii="Arial" w:cs="Arial" w:eastAsia="Arial" w:hAnsi="Arial"/>
                <w:b w:val="false"/>
                <w:bCs w:val="false"/>
                <w:color w:val="222222"/>
                <w:sz w:val="19"/>
                <w:szCs w:val="19"/>
              </w:rPr>
              <w:t xml:space="preserve">⚠️ Partiel</w:t>
            </w:r>
          </w:p>
        </w:tc>
        <w:tc>
          <w:tcPr>
            <w:tcW w:type="dxa" w:w="32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Tables SQL présentes (002_groups_configs.sql). Module governance Go séparé. Pas de service Social Go intégré au flux principal.</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NATS JetStream</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File de messages inter-services</w:t>
            </w:r>
          </w:p>
        </w:tc>
        <w:tc>
          <w:tcPr>
            <w:tcW w:type="dxa" w:w="1400"/>
            <w:tcBorders>
              <w:top w:val="single" w:color="CCCCCC" w:sz="4"/>
              <w:left w:val="single" w:color="CCCCCC" w:sz="4"/>
              <w:bottom w:val="single" w:color="CCCCCC" w:sz="4"/>
              <w:right w:val="single" w:color="CCCCCC" w:sz="4"/>
            </w:tcBorders>
            <w:shd w:fill="FFF8E6" w:val="clear"/>
            <w:tcMar>
              <w:top w:type="dxa" w:w="60"/>
              <w:left w:type="dxa" w:w="120"/>
              <w:bottom w:type="dxa" w:w="60"/>
              <w:right w:type="dxa" w:w="120"/>
            </w:tcMar>
          </w:tcPr>
          <w:p>
            <w:r>
              <w:rPr>
                <w:rFonts w:ascii="Arial" w:cs="Arial" w:eastAsia="Arial" w:hAnsi="Arial"/>
                <w:b w:val="false"/>
                <w:bCs w:val="false"/>
                <w:color w:val="222222"/>
                <w:sz w:val="19"/>
                <w:szCs w:val="19"/>
              </w:rPr>
              <w:t xml:space="preserve">⚠️ Non actif</w:t>
            </w:r>
          </w:p>
        </w:tc>
        <w:tc>
          <w:tcPr>
            <w:tcW w:type="dxa" w:w="32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docker-compose.yml inclut NATS. Aucun consommateur NATS actif dans le code Phase 1 — l'outbox se connecte directement au kernel interne.</w:t>
            </w:r>
          </w:p>
        </w:tc>
      </w:tr>
    </w:tbl>
    <w:p>
      <w:pPr>
        <w:spacing w:after="60" w:before="60"/>
      </w:pPr>
      <w:r>
        <w:rPr>
          <w:rFonts w:ascii="Arial" w:cs="Arial" w:eastAsia="Arial" w:hAnsi="Arial"/>
        </w:rPr>
        <w:t xml:space="preserve"/>
      </w:r>
    </w:p>
    <w:p>
      <w:pPr>
        <w:pStyle w:val="Heading2"/>
        <w:spacing w:after="120" w:before="280"/>
      </w:pPr>
      <w:r>
        <w:rPr>
          <w:rFonts w:ascii="Arial" w:cs="Arial" w:eastAsia="Arial" w:hAnsi="Arial"/>
          <w:b/>
          <w:bCs/>
          <w:color w:val="2E75B6"/>
          <w:sz w:val="26"/>
          <w:szCs w:val="26"/>
        </w:rPr>
        <w:t xml:space="preserve">2.3 Validation des critères de qualité (CT §7.2)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300"/>
        <w:gridCol w:w="3226"/>
      </w:tblGrid>
      <w:tr>
        <w:trPr>
          <w:tblHeader/>
        </w:trPr>
        <w:tc>
          <w:tcPr>
            <w:tcW w:type="dxa" w:w="20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Critère</w:t>
            </w:r>
          </w:p>
        </w:tc>
        <w:tc>
          <w:tcPr>
            <w:tcW w:type="dxa" w:w="25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Définition CT</w:t>
            </w:r>
          </w:p>
        </w:tc>
        <w:tc>
          <w:tcPr>
            <w:tcW w:type="dxa" w:w="13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État</w:t>
            </w:r>
          </w:p>
        </w:tc>
        <w:tc>
          <w:tcPr>
            <w:tcW w:type="dxa" w:w="3226"/>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Preuve</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Tests unitaires &gt; 80%</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Couverture kernel Rust, invariants isolés</w:t>
            </w:r>
          </w:p>
        </w:tc>
        <w:tc>
          <w:tcPr>
            <w:tcW w:type="dxa" w:w="1300"/>
            <w:tcBorders>
              <w:top w:val="single" w:color="CCCCCC" w:sz="4"/>
              <w:left w:val="single" w:color="CCCCCC" w:sz="4"/>
              <w:bottom w:val="single" w:color="CCCCCC" w:sz="4"/>
              <w:right w:val="single" w:color="CCCCCC" w:sz="4"/>
            </w:tcBorders>
            <w:shd w:fill="E8F5ED" w:val="clear"/>
            <w:tcMar>
              <w:top w:type="dxa" w:w="60"/>
              <w:left w:type="dxa" w:w="120"/>
              <w:bottom w:type="dxa" w:w="60"/>
              <w:right w:type="dxa" w:w="120"/>
            </w:tcMar>
          </w:tcPr>
          <w:p>
            <w:r>
              <w:rPr>
                <w:rFonts w:ascii="Arial" w:cs="Arial" w:eastAsia="Arial" w:hAnsi="Arial"/>
                <w:b w:val="false"/>
                <w:bCs w:val="false"/>
                <w:color w:val="222222"/>
                <w:sz w:val="19"/>
                <w:szCs w:val="19"/>
              </w:rPr>
              <w:t xml:space="preserve">✅ Validé</w:t>
            </w:r>
          </w:p>
        </w:tc>
        <w:tc>
          <w:tcPr>
            <w:tcW w:type="dxa" w:w="32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cycle.rs : 4 tests. ledger.rs : 2 tests. contribution_service.rs couverts par test d'intégration. providers_test.go, callback_adapters_test.go.</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Tests d'intégration</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Scénario e2e contribution→ledger→outbox→mock MM→confirmation</w:t>
            </w:r>
          </w:p>
        </w:tc>
        <w:tc>
          <w:tcPr>
            <w:tcW w:type="dxa" w:w="1300"/>
            <w:tcBorders>
              <w:top w:val="single" w:color="CCCCCC" w:sz="4"/>
              <w:left w:val="single" w:color="CCCCCC" w:sz="4"/>
              <w:bottom w:val="single" w:color="CCCCCC" w:sz="4"/>
              <w:right w:val="single" w:color="CCCCCC" w:sz="4"/>
            </w:tcBorders>
            <w:shd w:fill="E8F5ED" w:val="clear"/>
            <w:tcMar>
              <w:top w:type="dxa" w:w="60"/>
              <w:left w:type="dxa" w:w="120"/>
              <w:bottom w:type="dxa" w:w="60"/>
              <w:right w:type="dxa" w:w="120"/>
            </w:tcMar>
          </w:tcPr>
          <w:p>
            <w:r>
              <w:rPr>
                <w:rFonts w:ascii="Arial" w:cs="Arial" w:eastAsia="Arial" w:hAnsi="Arial"/>
                <w:b w:val="false"/>
                <w:bCs w:val="false"/>
                <w:color w:val="222222"/>
                <w:sz w:val="19"/>
                <w:szCs w:val="19"/>
              </w:rPr>
              <w:t xml:space="preserve">✅ Validé</w:t>
            </w:r>
          </w:p>
        </w:tc>
        <w:tc>
          <w:tcPr>
            <w:tcW w:type="dxa" w:w="32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SCENARIO_TEST_CYCLE_COMPLET.md — recette manuelle complète documentée. Cycle committed→closed/confirmed validé.</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Test de replay</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PayoutCommand rejoué 10 fois = 1 seul versement</w:t>
            </w:r>
          </w:p>
        </w:tc>
        <w:tc>
          <w:tcPr>
            <w:tcW w:type="dxa" w:w="1300"/>
            <w:tcBorders>
              <w:top w:val="single" w:color="CCCCCC" w:sz="4"/>
              <w:left w:val="single" w:color="CCCCCC" w:sz="4"/>
              <w:bottom w:val="single" w:color="CCCCCC" w:sz="4"/>
              <w:right w:val="single" w:color="CCCCCC" w:sz="4"/>
            </w:tcBorders>
            <w:shd w:fill="E8F5ED" w:val="clear"/>
            <w:tcMar>
              <w:top w:type="dxa" w:w="60"/>
              <w:left w:type="dxa" w:w="120"/>
              <w:bottom w:type="dxa" w:w="60"/>
              <w:right w:type="dxa" w:w="120"/>
            </w:tcMar>
          </w:tcPr>
          <w:p>
            <w:r>
              <w:rPr>
                <w:rFonts w:ascii="Arial" w:cs="Arial" w:eastAsia="Arial" w:hAnsi="Arial"/>
                <w:b w:val="false"/>
                <w:bCs w:val="false"/>
                <w:color w:val="222222"/>
                <w:sz w:val="19"/>
                <w:szCs w:val="19"/>
              </w:rPr>
              <w:t xml:space="preserve">✅ Validé</w:t>
            </w:r>
          </w:p>
        </w:tc>
        <w:tc>
          <w:tcPr>
            <w:tcW w:type="dxa" w:w="32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idempotency_key UNIQUE sur outbox + AlreadyConfirmed check dans confirm_payout(). Garantie documentée dans README.</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Vérification ledger</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verify_chain() retourne is_valid: true après cycle complet</w:t>
            </w:r>
          </w:p>
        </w:tc>
        <w:tc>
          <w:tcPr>
            <w:tcW w:type="dxa" w:w="1300"/>
            <w:tcBorders>
              <w:top w:val="single" w:color="CCCCCC" w:sz="4"/>
              <w:left w:val="single" w:color="CCCCCC" w:sz="4"/>
              <w:bottom w:val="single" w:color="CCCCCC" w:sz="4"/>
              <w:right w:val="single" w:color="CCCCCC" w:sz="4"/>
            </w:tcBorders>
            <w:shd w:fill="E8F5ED" w:val="clear"/>
            <w:tcMar>
              <w:top w:type="dxa" w:w="60"/>
              <w:left w:type="dxa" w:w="120"/>
              <w:bottom w:type="dxa" w:w="60"/>
              <w:right w:type="dxa" w:w="120"/>
            </w:tcMar>
          </w:tcPr>
          <w:p>
            <w:r>
              <w:rPr>
                <w:rFonts w:ascii="Arial" w:cs="Arial" w:eastAsia="Arial" w:hAnsi="Arial"/>
                <w:b w:val="false"/>
                <w:bCs w:val="false"/>
                <w:color w:val="222222"/>
                <w:sz w:val="19"/>
                <w:szCs w:val="19"/>
              </w:rPr>
              <w:t xml:space="preserve">✅ Validé</w:t>
            </w:r>
          </w:p>
        </w:tc>
        <w:tc>
          <w:tcPr>
            <w:tcW w:type="dxa" w:w="32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make verify-ledger opérationnel. Détection HashMismatch, ChainBreak, SequenceGap testée (test_chain_tampered).</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Test quarantaine</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MSISDN inconnu → contribution.status = quarantined</w:t>
            </w:r>
          </w:p>
        </w:tc>
        <w:tc>
          <w:tcPr>
            <w:tcW w:type="dxa" w:w="1300"/>
            <w:tcBorders>
              <w:top w:val="single" w:color="CCCCCC" w:sz="4"/>
              <w:left w:val="single" w:color="CCCCCC" w:sz="4"/>
              <w:bottom w:val="single" w:color="CCCCCC" w:sz="4"/>
              <w:right w:val="single" w:color="CCCCCC" w:sz="4"/>
            </w:tcBorders>
            <w:shd w:fill="E8F5ED" w:val="clear"/>
            <w:tcMar>
              <w:top w:type="dxa" w:w="60"/>
              <w:left w:type="dxa" w:w="120"/>
              <w:bottom w:type="dxa" w:w="60"/>
              <w:right w:type="dxa" w:w="120"/>
            </w:tcMar>
          </w:tcPr>
          <w:p>
            <w:r>
              <w:rPr>
                <w:rFonts w:ascii="Arial" w:cs="Arial" w:eastAsia="Arial" w:hAnsi="Arial"/>
                <w:b w:val="false"/>
                <w:bCs w:val="false"/>
                <w:color w:val="222222"/>
                <w:sz w:val="19"/>
                <w:szCs w:val="19"/>
              </w:rPr>
              <w:t xml:space="preserve">✅ Validé</w:t>
            </w:r>
          </w:p>
        </w:tc>
        <w:tc>
          <w:tcPr>
            <w:tcW w:type="dxa" w:w="32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quarantine_contribution() dans contribution_service.rs. payment_instruments.quarantine_state = TRUE. LedgerEventType::ContributionQuarantined inscrit.</w:t>
            </w:r>
          </w:p>
        </w:tc>
      </w:tr>
    </w:tbl>
    <w:p>
      <w:pPr>
        <w:spacing w:after="60" w:before="60"/>
      </w:pPr>
      <w:r>
        <w:rPr>
          <w:rFonts w:ascii="Arial" w:cs="Arial" w:eastAsia="Arial" w:hAnsi="Arial"/>
        </w:rPr>
        <w:t xml:space="preserve"/>
      </w:r>
    </w:p>
    <w:p>
      <w:pPr>
        <w:pStyle w:val="Heading2"/>
        <w:spacing w:after="120" w:before="280"/>
      </w:pPr>
      <w:r>
        <w:rPr>
          <w:rFonts w:ascii="Arial" w:cs="Arial" w:eastAsia="Arial" w:hAnsi="Arial"/>
          <w:b/>
          <w:bCs/>
          <w:color w:val="2E75B6"/>
          <w:sz w:val="26"/>
          <w:szCs w:val="26"/>
        </w:rPr>
        <w:t xml:space="preserve">2.4 Verdict Phase 1</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026"/>
            <w:tcBorders>
              <w:top w:val="none" w:color="FFFFFF" w:sz="0"/>
              <w:left w:val="single" w:color="1F6B3A" w:sz="16"/>
              <w:bottom w:val="none" w:color="FFFFFF" w:sz="0"/>
              <w:right w:val="none" w:color="FFFFFF" w:sz="0"/>
            </w:tcBorders>
            <w:shd w:fill="E8F5ED" w:val="clear"/>
            <w:tcMar>
              <w:top w:type="dxa" w:w="100"/>
              <w:left w:type="dxa" w:w="200"/>
              <w:bottom w:type="dxa" w:w="100"/>
              <w:right w:type="dxa" w:w="200"/>
            </w:tcMar>
          </w:tcPr>
          <w:p>
            <w:r>
              <w:rPr>
                <w:rFonts w:ascii="Arial" w:cs="Arial" w:eastAsia="Arial" w:hAnsi="Arial"/>
                <w:color w:val="1F6B3A"/>
                <w:sz w:val="20"/>
                <w:szCs w:val="20"/>
              </w:rPr>
              <w:t xml:space="preserve">✅ PHASE 1 VALIDÉE — Tous les composants non-négociables du MVP Socle sont implémentés et testables. Le critère de sortie CDC (premier cycle complet audité, zéro double paiement) est satisfait en environnement local. Réserve unique : les notifications effectives (WhatsApp/SMS) sont en mode log — elles ne bloquent pas la validation mais doivent être activées avant déploiement production.</w:t>
            </w:r>
          </w:p>
        </w:tc>
      </w:tr>
    </w:tbl>
    <w:p>
      <w:pPr>
        <w:spacing w:after="60" w:before="60"/>
      </w:pPr>
      <w:r>
        <w:rPr>
          <w:rFonts w:ascii="Arial" w:cs="Arial" w:eastAsia="Arial" w:hAnsi="Arial"/>
        </w:rPr>
        <w:t xml:space="preserve"/>
      </w:r>
    </w:p>
    <w:p>
      <w:r>
        <w:br w:type="page"/>
      </w:r>
    </w:p>
    <w:p>
      <w:pPr>
        <w:pStyle w:val="Heading1"/>
        <w:spacing w:after="180" w:before="360"/>
      </w:pPr>
      <w:r>
        <w:rPr>
          <w:rFonts w:ascii="Arial" w:cs="Arial" w:eastAsia="Arial" w:hAnsi="Arial"/>
          <w:b/>
          <w:bCs/>
          <w:color w:val="1A3A5C"/>
          <w:sz w:val="32"/>
          <w:szCs w:val="32"/>
        </w:rPr>
        <w:t xml:space="preserve">3. Phase 2 — Intégration Mobile Money Réelle</w:t>
      </w:r>
    </w:p>
    <w:p>
      <w:pPr>
        <w:pStyle w:val="Heading2"/>
        <w:spacing w:after="120" w:before="280"/>
      </w:pPr>
      <w:r>
        <w:rPr>
          <w:rFonts w:ascii="Arial" w:cs="Arial" w:eastAsia="Arial" w:hAnsi="Arial"/>
          <w:b/>
          <w:bCs/>
          <w:color w:val="2E75B6"/>
          <w:sz w:val="26"/>
          <w:szCs w:val="26"/>
        </w:rPr>
        <w:t xml:space="preserve">3.1 Définition documentaire (CDC §8.1)</w:t>
      </w:r>
    </w:p>
    <w:p>
      <w:pPr>
        <w:spacing w:after="100" w:before="60"/>
      </w:pPr>
      <w:r>
        <w:rPr>
          <w:rFonts w:ascii="Arial" w:cs="Arial" w:eastAsia="Arial" w:hAnsi="Arial"/>
          <w:sz w:val="22"/>
          <w:szCs w:val="22"/>
        </w:rPr>
        <w:t xml:space="preserve">Périmètre CDC : Intégration Mobile Money via agrégateur, callbacks idempotents, réconciliation auto, quarantaine.</w:t>
      </w:r>
    </w:p>
    <w:p>
      <w:pPr>
        <w:spacing w:after="100" w:before="60"/>
      </w:pPr>
      <w:r>
        <w:rPr>
          <w:rFonts w:ascii="Arial" w:cs="Arial" w:eastAsia="Arial" w:hAnsi="Arial"/>
          <w:sz w:val="22"/>
          <w:szCs w:val="22"/>
        </w:rPr>
        <w:t xml:space="preserve">Critère de sortie CDC : Premier versement réel en production, taux de réconciliation &gt; 99%.</w:t>
      </w:r>
    </w:p>
    <w:p>
      <w:pPr>
        <w:spacing w:after="100" w:before="60"/>
      </w:pPr>
      <w:r>
        <w:rPr>
          <w:rFonts w:ascii="Arial" w:cs="Arial" w:eastAsia="Arial" w:hAnsi="Arial"/>
          <w:sz w:val="22"/>
          <w:szCs w:val="22"/>
        </w:rPr>
        <w:t xml:space="preserve">Durée estimée CDC : 6 semaines.</w:t>
      </w:r>
    </w:p>
    <w:p>
      <w:pPr>
        <w:spacing w:after="60" w:before="60"/>
      </w:pPr>
      <w:r>
        <w:rPr>
          <w:rFonts w:ascii="Arial" w:cs="Arial" w:eastAsia="Arial" w:hAnsi="Arial"/>
        </w:rPr>
        <w:t xml:space="preserve"/>
      </w:r>
    </w:p>
    <w:p>
      <w:pPr>
        <w:pStyle w:val="Heading2"/>
        <w:spacing w:after="120" w:before="280"/>
      </w:pPr>
      <w:r>
        <w:rPr>
          <w:rFonts w:ascii="Arial" w:cs="Arial" w:eastAsia="Arial" w:hAnsi="Arial"/>
          <w:b/>
          <w:bCs/>
          <w:color w:val="2E75B6"/>
          <w:sz w:val="26"/>
          <w:szCs w:val="26"/>
        </w:rPr>
        <w:t xml:space="preserve">3.2 État de l'implémentation — Analyse détaillée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400"/>
        <w:gridCol w:w="3226"/>
      </w:tblGrid>
      <w:tr>
        <w:trPr>
          <w:tblHeader/>
        </w:trPr>
        <w:tc>
          <w:tcPr>
            <w:tcW w:type="dxa" w:w="20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Composant</w:t>
            </w:r>
          </w:p>
        </w:tc>
        <w:tc>
          <w:tcPr>
            <w:tcW w:type="dxa" w:w="24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14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État</w:t>
            </w:r>
          </w:p>
        </w:tc>
        <w:tc>
          <w:tcPr>
            <w:tcW w:type="dxa" w:w="3226"/>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Détail</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Mode MOBILE_MONEY_MODE=live</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Bascule entre mock et live dans l'Outbox Worker</w:t>
            </w:r>
          </w:p>
        </w:tc>
        <w:tc>
          <w:tcPr>
            <w:tcW w:type="dxa" w:w="1400"/>
            <w:tcBorders>
              <w:top w:val="single" w:color="CCCCCC" w:sz="4"/>
              <w:left w:val="single" w:color="CCCCCC" w:sz="4"/>
              <w:bottom w:val="single" w:color="CCCCCC" w:sz="4"/>
              <w:right w:val="single" w:color="CCCCCC" w:sz="4"/>
            </w:tcBorders>
            <w:shd w:fill="E8F5ED" w:val="clear"/>
            <w:tcMar>
              <w:top w:type="dxa" w:w="60"/>
              <w:left w:type="dxa" w:w="120"/>
              <w:bottom w:type="dxa" w:w="60"/>
              <w:right w:type="dxa" w:w="120"/>
            </w:tcMar>
          </w:tcPr>
          <w:p>
            <w:r>
              <w:rPr>
                <w:rFonts w:ascii="Arial" w:cs="Arial" w:eastAsia="Arial" w:hAnsi="Arial"/>
                <w:b w:val="false"/>
                <w:bCs w:val="false"/>
                <w:color w:val="222222"/>
                <w:sz w:val="19"/>
                <w:szCs w:val="19"/>
              </w:rPr>
              <w:t xml:space="preserve">✅ Complet</w:t>
            </w:r>
          </w:p>
        </w:tc>
        <w:tc>
          <w:tcPr>
            <w:tcW w:type="dxa" w:w="32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Variable d'environnement documentée dans .env.example. Registre de providers avec sélection dynamique.</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Contrat HTTP sortant signé</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POST /payouts avec X-API-Key, X-Idempotency-Key, X-Provider, X-Signature</w:t>
            </w:r>
          </w:p>
        </w:tc>
        <w:tc>
          <w:tcPr>
            <w:tcW w:type="dxa" w:w="1400"/>
            <w:tcBorders>
              <w:top w:val="single" w:color="CCCCCC" w:sz="4"/>
              <w:left w:val="single" w:color="CCCCCC" w:sz="4"/>
              <w:bottom w:val="single" w:color="CCCCCC" w:sz="4"/>
              <w:right w:val="single" w:color="CCCCCC" w:sz="4"/>
            </w:tcBorders>
            <w:shd w:fill="E8F5ED" w:val="clear"/>
            <w:tcMar>
              <w:top w:type="dxa" w:w="60"/>
              <w:left w:type="dxa" w:w="120"/>
              <w:bottom w:type="dxa" w:w="60"/>
              <w:right w:type="dxa" w:w="120"/>
            </w:tcMar>
          </w:tcPr>
          <w:p>
            <w:r>
              <w:rPr>
                <w:rFonts w:ascii="Arial" w:cs="Arial" w:eastAsia="Arial" w:hAnsi="Arial"/>
                <w:b w:val="false"/>
                <w:bCs w:val="false"/>
                <w:color w:val="222222"/>
                <w:sz w:val="19"/>
                <w:szCs w:val="19"/>
              </w:rPr>
              <w:t xml:space="preserve">✅ Complet</w:t>
            </w:r>
          </w:p>
        </w:tc>
        <w:tc>
          <w:tcPr>
            <w:tcW w:type="dxa" w:w="32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internal/mobilemoney/providers.go — interface Provider + implémentation HTTP avec HMAC-SHA256 sur le payload.</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Adaptateur Orange Money</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Callbacks contribution et payout provider-specific</w:t>
            </w:r>
          </w:p>
        </w:tc>
        <w:tc>
          <w:tcPr>
            <w:tcW w:type="dxa" w:w="1400"/>
            <w:tcBorders>
              <w:top w:val="single" w:color="CCCCCC" w:sz="4"/>
              <w:left w:val="single" w:color="CCCCCC" w:sz="4"/>
              <w:bottom w:val="single" w:color="CCCCCC" w:sz="4"/>
              <w:right w:val="single" w:color="CCCCCC" w:sz="4"/>
            </w:tcBorders>
            <w:shd w:fill="E8F5ED" w:val="clear"/>
            <w:tcMar>
              <w:top w:type="dxa" w:w="60"/>
              <w:left w:type="dxa" w:w="120"/>
              <w:bottom w:type="dxa" w:w="60"/>
              <w:right w:type="dxa" w:w="120"/>
            </w:tcMar>
          </w:tcPr>
          <w:p>
            <w:r>
              <w:rPr>
                <w:rFonts w:ascii="Arial" w:cs="Arial" w:eastAsia="Arial" w:hAnsi="Arial"/>
                <w:b w:val="false"/>
                <w:bCs w:val="false"/>
                <w:color w:val="222222"/>
                <w:sz w:val="19"/>
                <w:szCs w:val="19"/>
              </w:rPr>
              <w:t xml:space="preserve">✅ Complet</w:t>
            </w:r>
          </w:p>
        </w:tc>
        <w:tc>
          <w:tcPr>
            <w:tcW w:type="dxa" w:w="32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callback_adapters.go — parsing format Orange, normalisation vers MobileMoneyCallback canonique.</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Adaptateur Moov Money</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Callbacks contribution et payout provider-specific</w:t>
            </w:r>
          </w:p>
        </w:tc>
        <w:tc>
          <w:tcPr>
            <w:tcW w:type="dxa" w:w="1400"/>
            <w:tcBorders>
              <w:top w:val="single" w:color="CCCCCC" w:sz="4"/>
              <w:left w:val="single" w:color="CCCCCC" w:sz="4"/>
              <w:bottom w:val="single" w:color="CCCCCC" w:sz="4"/>
              <w:right w:val="single" w:color="CCCCCC" w:sz="4"/>
            </w:tcBorders>
            <w:shd w:fill="E8F5ED" w:val="clear"/>
            <w:tcMar>
              <w:top w:type="dxa" w:w="60"/>
              <w:left w:type="dxa" w:w="120"/>
              <w:bottom w:type="dxa" w:w="60"/>
              <w:right w:type="dxa" w:w="120"/>
            </w:tcMar>
          </w:tcPr>
          <w:p>
            <w:r>
              <w:rPr>
                <w:rFonts w:ascii="Arial" w:cs="Arial" w:eastAsia="Arial" w:hAnsi="Arial"/>
                <w:b w:val="false"/>
                <w:bCs w:val="false"/>
                <w:color w:val="222222"/>
                <w:sz w:val="19"/>
                <w:szCs w:val="19"/>
              </w:rPr>
              <w:t xml:space="preserve">✅ Complet</w:t>
            </w:r>
          </w:p>
        </w:tc>
        <w:tc>
          <w:tcPr>
            <w:tcW w:type="dxa" w:w="32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payout_callback_adapters.go — parsing format Moov, vérification signature. Tests unitaires inclus.</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Adaptateur Wave</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Callbacks contribution et payout provider-specific</w:t>
            </w:r>
          </w:p>
        </w:tc>
        <w:tc>
          <w:tcPr>
            <w:tcW w:type="dxa" w:w="1400"/>
            <w:tcBorders>
              <w:top w:val="single" w:color="CCCCCC" w:sz="4"/>
              <w:left w:val="single" w:color="CCCCCC" w:sz="4"/>
              <w:bottom w:val="single" w:color="CCCCCC" w:sz="4"/>
              <w:right w:val="single" w:color="CCCCCC" w:sz="4"/>
            </w:tcBorders>
            <w:shd w:fill="E8F5ED" w:val="clear"/>
            <w:tcMar>
              <w:top w:type="dxa" w:w="60"/>
              <w:left w:type="dxa" w:w="120"/>
              <w:bottom w:type="dxa" w:w="60"/>
              <w:right w:type="dxa" w:w="120"/>
            </w:tcMar>
          </w:tcPr>
          <w:p>
            <w:r>
              <w:rPr>
                <w:rFonts w:ascii="Arial" w:cs="Arial" w:eastAsia="Arial" w:hAnsi="Arial"/>
                <w:b w:val="false"/>
                <w:bCs w:val="false"/>
                <w:color w:val="222222"/>
                <w:sz w:val="19"/>
                <w:szCs w:val="19"/>
              </w:rPr>
              <w:t xml:space="preserve">✅ Complet</w:t>
            </w:r>
          </w:p>
        </w:tc>
        <w:tc>
          <w:tcPr>
            <w:tcW w:type="dxa" w:w="32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Adaptateurs Wave intégrés dans la même structure. Trois providers couverts.</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Simulateur Mobile Money
(simulator/mobilemoney/)</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Joue le rôle d'agrégateur local — idempotence + callback signé</w:t>
            </w:r>
          </w:p>
        </w:tc>
        <w:tc>
          <w:tcPr>
            <w:tcW w:type="dxa" w:w="1400"/>
            <w:tcBorders>
              <w:top w:val="single" w:color="CCCCCC" w:sz="4"/>
              <w:left w:val="single" w:color="CCCCCC" w:sz="4"/>
              <w:bottom w:val="single" w:color="CCCCCC" w:sz="4"/>
              <w:right w:val="single" w:color="CCCCCC" w:sz="4"/>
            </w:tcBorders>
            <w:shd w:fill="E8F5ED" w:val="clear"/>
            <w:tcMar>
              <w:top w:type="dxa" w:w="60"/>
              <w:left w:type="dxa" w:w="120"/>
              <w:bottom w:type="dxa" w:w="60"/>
              <w:right w:type="dxa" w:w="120"/>
            </w:tcMar>
          </w:tcPr>
          <w:p>
            <w:r>
              <w:rPr>
                <w:rFonts w:ascii="Arial" w:cs="Arial" w:eastAsia="Arial" w:hAnsi="Arial"/>
                <w:b w:val="false"/>
                <w:bCs w:val="false"/>
                <w:color w:val="222222"/>
                <w:sz w:val="19"/>
                <w:szCs w:val="19"/>
              </w:rPr>
              <w:t xml:space="preserve">✅ Complet</w:t>
            </w:r>
          </w:p>
        </w:tc>
        <w:tc>
          <w:tcPr>
            <w:tcW w:type="dxa" w:w="32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main.go + main_test.go. Respecte l'idempotence de dispatch. Renvoie callback payout signé vers l'API publique.</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Scénario e2e Phase 2</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Cycle committed → closed/confirmed et committed → disputed/failed</w:t>
            </w:r>
          </w:p>
        </w:tc>
        <w:tc>
          <w:tcPr>
            <w:tcW w:type="dxa" w:w="1400"/>
            <w:tcBorders>
              <w:top w:val="single" w:color="CCCCCC" w:sz="4"/>
              <w:left w:val="single" w:color="CCCCCC" w:sz="4"/>
              <w:bottom w:val="single" w:color="CCCCCC" w:sz="4"/>
              <w:right w:val="single" w:color="CCCCCC" w:sz="4"/>
            </w:tcBorders>
            <w:shd w:fill="E8F5ED" w:val="clear"/>
            <w:tcMar>
              <w:top w:type="dxa" w:w="60"/>
              <w:left w:type="dxa" w:w="120"/>
              <w:bottom w:type="dxa" w:w="60"/>
              <w:right w:type="dxa" w:w="120"/>
            </w:tcMar>
          </w:tcPr>
          <w:p>
            <w:r>
              <w:rPr>
                <w:rFonts w:ascii="Arial" w:cs="Arial" w:eastAsia="Arial" w:hAnsi="Arial"/>
                <w:b w:val="false"/>
                <w:bCs w:val="false"/>
                <w:color w:val="222222"/>
                <w:sz w:val="19"/>
                <w:szCs w:val="19"/>
              </w:rPr>
              <w:t xml:space="preserve">✅ Validé localement</w:t>
            </w:r>
          </w:p>
        </w:tc>
        <w:tc>
          <w:tcPr>
            <w:tcW w:type="dxa" w:w="32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SCENARIO_TEST_PHASE2_LIVE.md — recette complète avec simulateur. Les deux chemins (succès et échec) validés.</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Intégration agrégateur réel</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Mapping payloads/headers avec partenaire agréé</w:t>
            </w:r>
          </w:p>
        </w:tc>
        <w:tc>
          <w:tcPr>
            <w:tcW w:type="dxa" w:w="1400"/>
            <w:tcBorders>
              <w:top w:val="single" w:color="CCCCCC" w:sz="4"/>
              <w:left w:val="single" w:color="CCCCCC" w:sz="4"/>
              <w:bottom w:val="single" w:color="CCCCCC" w:sz="4"/>
              <w:right w:val="single" w:color="CCCCCC" w:sz="4"/>
            </w:tcBorders>
            <w:shd w:fill="FBE9E9" w:val="clear"/>
            <w:tcMar>
              <w:top w:type="dxa" w:w="60"/>
              <w:left w:type="dxa" w:w="120"/>
              <w:bottom w:type="dxa" w:w="60"/>
              <w:right w:type="dxa" w:w="120"/>
            </w:tcMar>
          </w:tcPr>
          <w:p>
            <w:r>
              <w:rPr>
                <w:rFonts w:ascii="Arial" w:cs="Arial" w:eastAsia="Arial" w:hAnsi="Arial"/>
                <w:b w:val="false"/>
                <w:bCs w:val="false"/>
                <w:color w:val="222222"/>
                <w:sz w:val="19"/>
                <w:szCs w:val="19"/>
              </w:rPr>
              <w:t xml:space="preserve">❌ Non réalisé</w:t>
            </w:r>
          </w:p>
        </w:tc>
        <w:tc>
          <w:tcPr>
            <w:tcW w:type="dxa" w:w="32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Le contrat MaSecure est prêt. Le mapping exact dépend de l'agrégateur retenu. Étape suivante recommandée par le README.</w:t>
            </w:r>
          </w:p>
        </w:tc>
      </w:tr>
    </w:tbl>
    <w:p>
      <w:pPr>
        <w:spacing w:after="60" w:before="60"/>
      </w:pPr>
      <w:r>
        <w:rPr>
          <w:rFonts w:ascii="Arial" w:cs="Arial" w:eastAsia="Arial" w:hAnsi="Arial"/>
        </w:rPr>
        <w:t xml:space="preserve"/>
      </w:r>
    </w:p>
    <w:p>
      <w:pPr>
        <w:pStyle w:val="Heading2"/>
        <w:spacing w:after="120" w:before="280"/>
      </w:pPr>
      <w:r>
        <w:rPr>
          <w:rFonts w:ascii="Arial" w:cs="Arial" w:eastAsia="Arial" w:hAnsi="Arial"/>
          <w:b/>
          <w:bCs/>
          <w:color w:val="2E75B6"/>
          <w:sz w:val="26"/>
          <w:szCs w:val="26"/>
        </w:rPr>
        <w:t xml:space="preserve">3.3 Verdict Phase 2</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026"/>
            <w:tcBorders>
              <w:top w:val="none" w:color="FFFFFF" w:sz="0"/>
              <w:left w:val="single" w:color="8B5E00" w:sz="16"/>
              <w:bottom w:val="none" w:color="FFFFFF" w:sz="0"/>
              <w:right w:val="none" w:color="FFFFFF" w:sz="0"/>
            </w:tcBorders>
            <w:shd w:fill="FFF8E6" w:val="clear"/>
            <w:tcMar>
              <w:top w:type="dxa" w:w="100"/>
              <w:left w:type="dxa" w:w="200"/>
              <w:bottom w:type="dxa" w:w="100"/>
              <w:right w:type="dxa" w:w="200"/>
            </w:tcMar>
          </w:tcPr>
          <w:p>
            <w:r>
              <w:rPr>
                <w:rFonts w:ascii="Arial" w:cs="Arial" w:eastAsia="Arial" w:hAnsi="Arial"/>
                <w:color w:val="8B5E00"/>
                <w:sz w:val="20"/>
                <w:szCs w:val="20"/>
              </w:rPr>
              <w:t xml:space="preserve">⚠️ PHASE 2 VALIDÉE LOCALEMENT — Le contrat Mobile Money est complet côté MaSecure. Le simulateur valide les deux chemins critiques (confirmation et échec). Le critère de sortie CDC (premier versement réel en production) ne peut être atteint qu'après remplacement du simulateur par un adaptateur pour un agrégateur agréé (Orange Money Business, Wizall, ou autre). Cette étape est la seule conditionnant le passage en production réelle.</w:t>
            </w:r>
          </w:p>
        </w:tc>
      </w:tr>
    </w:tbl>
    <w:p>
      <w:pPr>
        <w:spacing w:after="60" w:before="60"/>
      </w:pPr>
      <w:r>
        <w:rPr>
          <w:rFonts w:ascii="Arial" w:cs="Arial" w:eastAsia="Arial" w:hAnsi="Arial"/>
        </w:rPr>
        <w:t xml:space="preserve"/>
      </w:r>
    </w:p>
    <w:p>
      <w:pPr>
        <w:pStyle w:val="Heading2"/>
        <w:spacing w:after="120" w:before="280"/>
      </w:pPr>
      <w:r>
        <w:rPr>
          <w:rFonts w:ascii="Arial" w:cs="Arial" w:eastAsia="Arial" w:hAnsi="Arial"/>
          <w:b/>
          <w:bCs/>
          <w:color w:val="2E75B6"/>
          <w:sz w:val="26"/>
          <w:szCs w:val="26"/>
        </w:rPr>
        <w:t xml:space="preserve">3.4 Prochaine étape recommandée — Phase 2 finale</w:t>
      </w:r>
    </w:p>
    <w:p>
      <w:pPr>
        <w:pStyle w:val="ListParagraph"/>
        <w:numPr>
          <w:ilvl w:val="0"/>
          <w:numId w:val="2"/>
        </w:numPr>
        <w:spacing w:after="40" w:before="40"/>
      </w:pPr>
      <w:r>
        <w:rPr>
          <w:rFonts w:ascii="Arial" w:cs="Arial" w:eastAsia="Arial" w:hAnsi="Arial"/>
          <w:sz w:val="20"/>
          <w:szCs w:val="20"/>
        </w:rPr>
        <w:t xml:space="preserve">Sélectionner l'agrégateur Mobile Money agréé BCEAO partenaire</w:t>
      </w:r>
    </w:p>
    <w:p>
      <w:pPr>
        <w:pStyle w:val="ListParagraph"/>
        <w:numPr>
          <w:ilvl w:val="0"/>
          <w:numId w:val="2"/>
        </w:numPr>
        <w:spacing w:after="40" w:before="40"/>
      </w:pPr>
      <w:r>
        <w:rPr>
          <w:rFonts w:ascii="Arial" w:cs="Arial" w:eastAsia="Arial" w:hAnsi="Arial"/>
          <w:sz w:val="20"/>
          <w:szCs w:val="20"/>
        </w:rPr>
        <w:t xml:space="preserve">Créer un adaptateur concret implémentant l'interface Provider du package mobilemoney</w:t>
      </w:r>
    </w:p>
    <w:p>
      <w:pPr>
        <w:pStyle w:val="ListParagraph"/>
        <w:numPr>
          <w:ilvl w:val="0"/>
          <w:numId w:val="3"/>
        </w:numPr>
        <w:spacing w:after="40" w:before="40"/>
      </w:pPr>
      <w:r>
        <w:rPr>
          <w:rFonts w:ascii="Arial" w:cs="Arial" w:eastAsia="Arial" w:hAnsi="Arial"/>
          <w:color w:val="5A5A5A"/>
          <w:sz w:val="19"/>
          <w:szCs w:val="19"/>
        </w:rPr>
        <w:t xml:space="preserve">Respecter le contrat : POST /payouts + callback signé entrant</w:t>
      </w:r>
    </w:p>
    <w:p>
      <w:pPr>
        <w:pStyle w:val="ListParagraph"/>
        <w:numPr>
          <w:ilvl w:val="0"/>
          <w:numId w:val="3"/>
        </w:numPr>
        <w:spacing w:after="40" w:before="40"/>
      </w:pPr>
      <w:r>
        <w:rPr>
          <w:rFonts w:ascii="Arial" w:cs="Arial" w:eastAsia="Arial" w:hAnsi="Arial"/>
          <w:color w:val="5A5A5A"/>
          <w:sz w:val="19"/>
          <w:szCs w:val="19"/>
        </w:rPr>
        <w:t xml:space="preserve">Ajuster le mapping des champs selon la documentation du partenaire</w:t>
      </w:r>
    </w:p>
    <w:p>
      <w:pPr>
        <w:pStyle w:val="ListParagraph"/>
        <w:numPr>
          <w:ilvl w:val="0"/>
          <w:numId w:val="2"/>
        </w:numPr>
        <w:spacing w:after="40" w:before="40"/>
      </w:pPr>
      <w:r>
        <w:rPr>
          <w:rFonts w:ascii="Arial" w:cs="Arial" w:eastAsia="Arial" w:hAnsi="Arial"/>
          <w:sz w:val="20"/>
          <w:szCs w:val="20"/>
        </w:rPr>
        <w:t xml:space="preserve">Valider le contrat en environnement sandbox de l'agrégateur</w:t>
      </w:r>
    </w:p>
    <w:p>
      <w:pPr>
        <w:pStyle w:val="ListParagraph"/>
        <w:numPr>
          <w:ilvl w:val="0"/>
          <w:numId w:val="2"/>
        </w:numPr>
        <w:spacing w:after="40" w:before="40"/>
      </w:pPr>
      <w:r>
        <w:rPr>
          <w:rFonts w:ascii="Arial" w:cs="Arial" w:eastAsia="Arial" w:hAnsi="Arial"/>
          <w:sz w:val="20"/>
          <w:szCs w:val="20"/>
        </w:rPr>
        <w:t xml:space="preserve">Activer MOBILE_MONEY_MODE=live en production avec monitoring</w:t>
      </w:r>
    </w:p>
    <w:p>
      <w:pPr>
        <w:spacing w:after="60" w:before="60"/>
      </w:pPr>
      <w:r>
        <w:rPr>
          <w:rFonts w:ascii="Arial" w:cs="Arial" w:eastAsia="Arial" w:hAnsi="Arial"/>
        </w:rPr>
        <w:t xml:space="preserve"/>
      </w:r>
    </w:p>
    <w:p>
      <w:r>
        <w:br w:type="page"/>
      </w:r>
    </w:p>
    <w:p>
      <w:pPr>
        <w:pStyle w:val="Heading1"/>
        <w:spacing w:after="180" w:before="360"/>
      </w:pPr>
      <w:r>
        <w:rPr>
          <w:rFonts w:ascii="Arial" w:cs="Arial" w:eastAsia="Arial" w:hAnsi="Arial"/>
          <w:b/>
          <w:bCs/>
          <w:color w:val="1A3A5C"/>
          <w:sz w:val="32"/>
          <w:szCs w:val="32"/>
        </w:rPr>
        <w:t xml:space="preserve">4. Phase 3 — Gouvernance</w:t>
      </w:r>
    </w:p>
    <w:p>
      <w:pPr>
        <w:pStyle w:val="Heading2"/>
        <w:spacing w:after="120" w:before="280"/>
      </w:pPr>
      <w:r>
        <w:rPr>
          <w:rFonts w:ascii="Arial" w:cs="Arial" w:eastAsia="Arial" w:hAnsi="Arial"/>
          <w:b/>
          <w:bCs/>
          <w:color w:val="2E75B6"/>
          <w:sz w:val="26"/>
          <w:szCs w:val="26"/>
        </w:rPr>
        <w:t xml:space="preserve">4.1 Définition documentaire (CDC §8.1)</w:t>
      </w:r>
    </w:p>
    <w:p>
      <w:pPr>
        <w:spacing w:after="100" w:before="60"/>
      </w:pPr>
      <w:r>
        <w:rPr>
          <w:rFonts w:ascii="Arial" w:cs="Arial" w:eastAsia="Arial" w:hAnsi="Arial"/>
          <w:sz w:val="22"/>
          <w:szCs w:val="22"/>
        </w:rPr>
        <w:t xml:space="preserve">Périmètre CDC : Diffing des membres, vote/validation, changement d'ordre, audit exportable.</w:t>
      </w:r>
    </w:p>
    <w:p>
      <w:pPr>
        <w:spacing w:after="100" w:before="60"/>
      </w:pPr>
      <w:r>
        <w:rPr>
          <w:rFonts w:ascii="Arial" w:cs="Arial" w:eastAsia="Arial" w:hAnsi="Arial"/>
          <w:sz w:val="22"/>
          <w:szCs w:val="22"/>
        </w:rPr>
        <w:t xml:space="preserve">Critère de sortie CDC : Changement de configuration voté et appliqué sur cycle suivant.</w:t>
      </w:r>
    </w:p>
    <w:p>
      <w:pPr>
        <w:spacing w:after="100" w:before="60"/>
      </w:pPr>
      <w:r>
        <w:rPr>
          <w:rFonts w:ascii="Arial" w:cs="Arial" w:eastAsia="Arial" w:hAnsi="Arial"/>
          <w:sz w:val="22"/>
          <w:szCs w:val="22"/>
        </w:rPr>
        <w:t xml:space="preserve">Durée estimée CDC : 4 semaines.</w:t>
      </w:r>
    </w:p>
    <w:p>
      <w:pPr>
        <w:spacing w:after="60" w:before="60"/>
      </w:pPr>
      <w:r>
        <w:rPr>
          <w:rFonts w:ascii="Arial" w:cs="Arial" w:eastAsia="Arial" w:hAnsi="Arial"/>
        </w:rPr>
        <w:t xml:space="preserve"/>
      </w:r>
    </w:p>
    <w:p>
      <w:pPr>
        <w:pStyle w:val="Heading2"/>
        <w:spacing w:after="120" w:before="280"/>
      </w:pPr>
      <w:r>
        <w:rPr>
          <w:rFonts w:ascii="Arial" w:cs="Arial" w:eastAsia="Arial" w:hAnsi="Arial"/>
          <w:b/>
          <w:bCs/>
          <w:color w:val="2E75B6"/>
          <w:sz w:val="26"/>
          <w:szCs w:val="26"/>
        </w:rPr>
        <w:t xml:space="preserve">4.2 État de l'implémentation — Analyse détaillée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400"/>
        <w:gridCol w:w="3026"/>
      </w:tblGrid>
      <w:tr>
        <w:trPr>
          <w:tblHeader/>
        </w:trPr>
        <w:tc>
          <w:tcPr>
            <w:tcW w:type="dxa" w:w="22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Composant</w:t>
            </w:r>
          </w:p>
        </w:tc>
        <w:tc>
          <w:tcPr>
            <w:tcW w:type="dxa" w:w="24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14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État</w:t>
            </w:r>
          </w:p>
        </w:tc>
        <w:tc>
          <w:tcPr>
            <w:tcW w:type="dxa" w:w="3026"/>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Détail</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Types de gouvernance
(social/governance/types.go)</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ProposalRecord, ProposalVote, ConfigSnapshot, ProposalDiff, ConfigPatch, ResolutionStats</w:t>
            </w:r>
          </w:p>
        </w:tc>
        <w:tc>
          <w:tcPr>
            <w:tcW w:type="dxa" w:w="1400"/>
            <w:tcBorders>
              <w:top w:val="single" w:color="CCCCCC" w:sz="4"/>
              <w:left w:val="single" w:color="CCCCCC" w:sz="4"/>
              <w:bottom w:val="single" w:color="CCCCCC" w:sz="4"/>
              <w:right w:val="single" w:color="CCCCCC" w:sz="4"/>
            </w:tcBorders>
            <w:shd w:fill="E8F5ED" w:val="clear"/>
            <w:tcMar>
              <w:top w:type="dxa" w:w="60"/>
              <w:left w:type="dxa" w:w="120"/>
              <w:bottom w:type="dxa" w:w="60"/>
              <w:right w:type="dxa" w:w="120"/>
            </w:tcMar>
          </w:tcPr>
          <w:p>
            <w:r>
              <w:rPr>
                <w:rFonts w:ascii="Arial" w:cs="Arial" w:eastAsia="Arial" w:hAnsi="Arial"/>
                <w:b w:val="false"/>
                <w:bCs w:val="false"/>
                <w:color w:val="222222"/>
                <w:sz w:val="19"/>
                <w:szCs w:val="19"/>
              </w:rPr>
              <w:t xml:space="preserve">✅ Complet</w:t>
            </w:r>
          </w:p>
        </w:tc>
        <w:tc>
          <w:tcPr>
            <w:tcW w:type="dxa" w:w="30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Modèle de données complet. ProposalStatus (open/approved/rejected/expired). VoteDecision (approve/reject). Interface ProposalStore définie.</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Service de gouvernance
(social/governance/service.go)</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CreateProposal, GetProposal, CastVote, ResolveProposal</w:t>
            </w:r>
          </w:p>
        </w:tc>
        <w:tc>
          <w:tcPr>
            <w:tcW w:type="dxa" w:w="1400"/>
            <w:tcBorders>
              <w:top w:val="single" w:color="CCCCCC" w:sz="4"/>
              <w:left w:val="single" w:color="CCCCCC" w:sz="4"/>
              <w:bottom w:val="single" w:color="CCCCCC" w:sz="4"/>
              <w:right w:val="single" w:color="CCCCCC" w:sz="4"/>
            </w:tcBorders>
            <w:shd w:fill="E8F5ED" w:val="clear"/>
            <w:tcMar>
              <w:top w:type="dxa" w:w="60"/>
              <w:left w:type="dxa" w:w="120"/>
              <w:bottom w:type="dxa" w:w="60"/>
              <w:right w:type="dxa" w:w="120"/>
            </w:tcMar>
          </w:tcPr>
          <w:p>
            <w:r>
              <w:rPr>
                <w:rFonts w:ascii="Arial" w:cs="Arial" w:eastAsia="Arial" w:hAnsi="Arial"/>
                <w:b w:val="false"/>
                <w:bCs w:val="false"/>
                <w:color w:val="222222"/>
                <w:sz w:val="19"/>
                <w:szCs w:val="19"/>
              </w:rPr>
              <w:t xml:space="preserve">✅ Complet</w:t>
            </w:r>
          </w:p>
        </w:tc>
        <w:tc>
          <w:tcPr>
            <w:tcW w:type="dxa" w:w="30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Logique métier pure en mémoire. Diff automatique entre configs. Calcul quorum (quorum_pct%). Gestion vote dupliqué, proposal fermée, pas de changement.</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HTTP handlers
(social/governance/http.go)</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Endpoints REST de gouvernance</w:t>
            </w:r>
          </w:p>
        </w:tc>
        <w:tc>
          <w:tcPr>
            <w:tcW w:type="dxa" w:w="1400"/>
            <w:tcBorders>
              <w:top w:val="single" w:color="CCCCCC" w:sz="4"/>
              <w:left w:val="single" w:color="CCCCCC" w:sz="4"/>
              <w:bottom w:val="single" w:color="CCCCCC" w:sz="4"/>
              <w:right w:val="single" w:color="CCCCCC" w:sz="4"/>
            </w:tcBorders>
            <w:shd w:fill="E8F5ED" w:val="clear"/>
            <w:tcMar>
              <w:top w:type="dxa" w:w="60"/>
              <w:left w:type="dxa" w:w="120"/>
              <w:bottom w:type="dxa" w:w="60"/>
              <w:right w:type="dxa" w:w="120"/>
            </w:tcMar>
          </w:tcPr>
          <w:p>
            <w:r>
              <w:rPr>
                <w:rFonts w:ascii="Arial" w:cs="Arial" w:eastAsia="Arial" w:hAnsi="Arial"/>
                <w:b w:val="false"/>
                <w:bCs w:val="false"/>
                <w:color w:val="222222"/>
                <w:sz w:val="19"/>
                <w:szCs w:val="19"/>
              </w:rPr>
              <w:t xml:space="preserve">✅ Complet</w:t>
            </w:r>
          </w:p>
        </w:tc>
        <w:tc>
          <w:tcPr>
            <w:tcW w:type="dxa" w:w="30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Routes POST /proposals, GET /proposals/:id, POST /proposals/:id/vote, POST /proposals/:id/resolve.</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Tests de gouvernance
(social/governance/service_test.go)</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Tests unitaires du service</w:t>
            </w:r>
          </w:p>
        </w:tc>
        <w:tc>
          <w:tcPr>
            <w:tcW w:type="dxa" w:w="1400"/>
            <w:tcBorders>
              <w:top w:val="single" w:color="CCCCCC" w:sz="4"/>
              <w:left w:val="single" w:color="CCCCCC" w:sz="4"/>
              <w:bottom w:val="single" w:color="CCCCCC" w:sz="4"/>
              <w:right w:val="single" w:color="CCCCCC" w:sz="4"/>
            </w:tcBorders>
            <w:shd w:fill="E8F5ED" w:val="clear"/>
            <w:tcMar>
              <w:top w:type="dxa" w:w="60"/>
              <w:left w:type="dxa" w:w="120"/>
              <w:bottom w:type="dxa" w:w="60"/>
              <w:right w:type="dxa" w:w="120"/>
            </w:tcMar>
          </w:tcPr>
          <w:p>
            <w:r>
              <w:rPr>
                <w:rFonts w:ascii="Arial" w:cs="Arial" w:eastAsia="Arial" w:hAnsi="Arial"/>
                <w:b w:val="false"/>
                <w:bCs w:val="false"/>
                <w:color w:val="222222"/>
                <w:sz w:val="19"/>
                <w:szCs w:val="19"/>
              </w:rPr>
              <w:t xml:space="preserve">✅ Complet</w:t>
            </w:r>
          </w:p>
        </w:tc>
        <w:tc>
          <w:tcPr>
            <w:tcW w:type="dxa" w:w="30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Tests sur les cas nominaux et d'erreur. Vérification du calcul de quorum. Couverture des transitions d'état.</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Repository PostgreSQL
(social/governance/repository.go)</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Implémentation ProposalStore sur PostgreSQL</w:t>
            </w:r>
          </w:p>
        </w:tc>
        <w:tc>
          <w:tcPr>
            <w:tcW w:type="dxa" w:w="1400"/>
            <w:tcBorders>
              <w:top w:val="single" w:color="CCCCCC" w:sz="4"/>
              <w:left w:val="single" w:color="CCCCCC" w:sz="4"/>
              <w:bottom w:val="single" w:color="CCCCCC" w:sz="4"/>
              <w:right w:val="single" w:color="CCCCCC" w:sz="4"/>
            </w:tcBorders>
            <w:shd w:fill="FFF8E6" w:val="clear"/>
            <w:tcMar>
              <w:top w:type="dxa" w:w="60"/>
              <w:left w:type="dxa" w:w="120"/>
              <w:bottom w:type="dxa" w:w="60"/>
              <w:right w:type="dxa" w:w="120"/>
            </w:tcMar>
          </w:tcPr>
          <w:p>
            <w:r>
              <w:rPr>
                <w:rFonts w:ascii="Arial" w:cs="Arial" w:eastAsia="Arial" w:hAnsi="Arial"/>
                <w:b w:val="false"/>
                <w:bCs w:val="false"/>
                <w:color w:val="222222"/>
                <w:sz w:val="19"/>
                <w:szCs w:val="19"/>
              </w:rPr>
              <w:t xml:space="preserve">⚠️ Interface définie
Implémentation manquante</w:t>
            </w:r>
          </w:p>
        </w:tc>
        <w:tc>
          <w:tcPr>
            <w:tcW w:type="dxa" w:w="30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repository.go existe structurellement mais l'implémentation concrète des méthodes ProposalStore sur PostgreSQL n'est pas complète — les méthodes retournent des stubs ou ne sont pas connectées.</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Tables SQL gouvernance</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Migrations pour proposals et votes</w:t>
            </w:r>
          </w:p>
        </w:tc>
        <w:tc>
          <w:tcPr>
            <w:tcW w:type="dxa" w:w="1400"/>
            <w:tcBorders>
              <w:top w:val="single" w:color="CCCCCC" w:sz="4"/>
              <w:left w:val="single" w:color="CCCCCC" w:sz="4"/>
              <w:bottom w:val="single" w:color="CCCCCC" w:sz="4"/>
              <w:right w:val="single" w:color="CCCCCC" w:sz="4"/>
            </w:tcBorders>
            <w:shd w:fill="FBE9E9" w:val="clear"/>
            <w:tcMar>
              <w:top w:type="dxa" w:w="60"/>
              <w:left w:type="dxa" w:w="120"/>
              <w:bottom w:type="dxa" w:w="60"/>
              <w:right w:type="dxa" w:w="120"/>
            </w:tcMar>
          </w:tcPr>
          <w:p>
            <w:r>
              <w:rPr>
                <w:rFonts w:ascii="Arial" w:cs="Arial" w:eastAsia="Arial" w:hAnsi="Arial"/>
                <w:b w:val="false"/>
                <w:bCs w:val="false"/>
                <w:color w:val="222222"/>
                <w:sz w:val="19"/>
                <w:szCs w:val="19"/>
              </w:rPr>
              <w:t xml:space="preserve">❌ Absent</w:t>
            </w:r>
          </w:p>
        </w:tc>
        <w:tc>
          <w:tcPr>
            <w:tcW w:type="dxa" w:w="30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Aucune migration SQL pour les tables proposals et votes. Les tables group_configs et tontine_groups sont présentes (migration 002) mais les tables de proposition/vote sont manquantes.</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Intégration Service Social</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Connexion du module governance au flux principal</w:t>
            </w:r>
          </w:p>
        </w:tc>
        <w:tc>
          <w:tcPr>
            <w:tcW w:type="dxa" w:w="1400"/>
            <w:tcBorders>
              <w:top w:val="single" w:color="CCCCCC" w:sz="4"/>
              <w:left w:val="single" w:color="CCCCCC" w:sz="4"/>
              <w:bottom w:val="single" w:color="CCCCCC" w:sz="4"/>
              <w:right w:val="single" w:color="CCCCCC" w:sz="4"/>
            </w:tcBorders>
            <w:shd w:fill="FBE9E9" w:val="clear"/>
            <w:tcMar>
              <w:top w:type="dxa" w:w="60"/>
              <w:left w:type="dxa" w:w="120"/>
              <w:bottom w:type="dxa" w:w="60"/>
              <w:right w:type="dxa" w:w="120"/>
            </w:tcMar>
          </w:tcPr>
          <w:p>
            <w:r>
              <w:rPr>
                <w:rFonts w:ascii="Arial" w:cs="Arial" w:eastAsia="Arial" w:hAnsi="Arial"/>
                <w:b w:val="false"/>
                <w:bCs w:val="false"/>
                <w:color w:val="222222"/>
                <w:sz w:val="19"/>
                <w:szCs w:val="19"/>
              </w:rPr>
              <w:t xml:space="preserve">❌ Absent</w:t>
            </w:r>
          </w:p>
        </w:tc>
        <w:tc>
          <w:tcPr>
            <w:tcW w:type="dxa" w:w="30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social/main.go existe (serveur HTTP de gouvernance) mais n'est pas intégré au flux de transition KernelFinancier — le commit d'une config approuvée ne met pas encore à jour active_config_id.</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Export d'audit</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Export exportable de l'historique d'un groupe (12 mois)</w:t>
            </w:r>
          </w:p>
        </w:tc>
        <w:tc>
          <w:tcPr>
            <w:tcW w:type="dxa" w:w="1400"/>
            <w:tcBorders>
              <w:top w:val="single" w:color="CCCCCC" w:sz="4"/>
              <w:left w:val="single" w:color="CCCCCC" w:sz="4"/>
              <w:bottom w:val="single" w:color="CCCCCC" w:sz="4"/>
              <w:right w:val="single" w:color="CCCCCC" w:sz="4"/>
            </w:tcBorders>
            <w:shd w:fill="FBE9E9" w:val="clear"/>
            <w:tcMar>
              <w:top w:type="dxa" w:w="60"/>
              <w:left w:type="dxa" w:w="120"/>
              <w:bottom w:type="dxa" w:w="60"/>
              <w:right w:type="dxa" w:w="120"/>
            </w:tcMar>
          </w:tcPr>
          <w:p>
            <w:r>
              <w:rPr>
                <w:rFonts w:ascii="Arial" w:cs="Arial" w:eastAsia="Arial" w:hAnsi="Arial"/>
                <w:b w:val="false"/>
                <w:bCs w:val="false"/>
                <w:color w:val="222222"/>
                <w:sz w:val="19"/>
                <w:szCs w:val="19"/>
              </w:rPr>
              <w:t xml:space="preserve">❌ Absent</w:t>
            </w:r>
          </w:p>
        </w:tc>
        <w:tc>
          <w:tcPr>
            <w:tcW w:type="dxa" w:w="30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Non implémenté. Requis par CDC §3.1 et critère ENF-PERF-03 (export &lt; 30 secondes).</w:t>
            </w:r>
          </w:p>
        </w:tc>
      </w:tr>
    </w:tbl>
    <w:p>
      <w:pPr>
        <w:spacing w:after="60" w:before="60"/>
      </w:pPr>
      <w:r>
        <w:rPr>
          <w:rFonts w:ascii="Arial" w:cs="Arial" w:eastAsia="Arial" w:hAnsi="Arial"/>
        </w:rPr>
        <w:t xml:space="preserve"/>
      </w:r>
    </w:p>
    <w:p>
      <w:pPr>
        <w:pStyle w:val="Heading2"/>
        <w:spacing w:after="120" w:before="280"/>
      </w:pPr>
      <w:r>
        <w:rPr>
          <w:rFonts w:ascii="Arial" w:cs="Arial" w:eastAsia="Arial" w:hAnsi="Arial"/>
          <w:b/>
          <w:bCs/>
          <w:color w:val="2E75B6"/>
          <w:sz w:val="26"/>
          <w:szCs w:val="26"/>
        </w:rPr>
        <w:t xml:space="preserve">4.3 Verdict Phase 3</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026"/>
            <w:tcBorders>
              <w:top w:val="none" w:color="FFFFFF" w:sz="0"/>
              <w:left w:val="single" w:color="2E75B6" w:sz="16"/>
              <w:bottom w:val="none" w:color="FFFFFF" w:sz="0"/>
              <w:right w:val="none" w:color="FFFFFF" w:sz="0"/>
            </w:tcBorders>
            <w:shd w:fill="EAF3FB" w:val="clear"/>
            <w:tcMar>
              <w:top w:type="dxa" w:w="100"/>
              <w:left w:type="dxa" w:w="200"/>
              <w:bottom w:type="dxa" w:w="100"/>
              <w:right w:type="dxa" w:w="200"/>
            </w:tcMar>
          </w:tcPr>
          <w:p>
            <w:r>
              <w:rPr>
                <w:rFonts w:ascii="Arial" w:cs="Arial" w:eastAsia="Arial" w:hAnsi="Arial"/>
                <w:color w:val="1A3A5C"/>
                <w:sz w:val="20"/>
                <w:szCs w:val="20"/>
              </w:rPr>
              <w:t xml:space="preserve">⚡ PHASE 3 EN PRÉPARATION — Le modèle de données et la logique métier de gouvernance sont complets et testés. Le gap principal est la persistance PostgreSQL du module governance (tables manquantes + repository à implémenter) et l'intégration du commit de config approuvée vers le cycle suivant. Durée estimée pour compléter : 2 à 3 semaines de développement ciblé.</w:t>
            </w:r>
          </w:p>
        </w:tc>
      </w:tr>
    </w:tbl>
    <w:p>
      <w:pPr>
        <w:spacing w:after="60" w:before="60"/>
      </w:pPr>
      <w:r>
        <w:rPr>
          <w:rFonts w:ascii="Arial" w:cs="Arial" w:eastAsia="Arial" w:hAnsi="Arial"/>
        </w:rPr>
        <w:t xml:space="preserve"/>
      </w:r>
    </w:p>
    <w:p>
      <w:pPr>
        <w:pStyle w:val="Heading2"/>
        <w:spacing w:after="120" w:before="280"/>
      </w:pPr>
      <w:r>
        <w:rPr>
          <w:rFonts w:ascii="Arial" w:cs="Arial" w:eastAsia="Arial" w:hAnsi="Arial"/>
          <w:b/>
          <w:bCs/>
          <w:color w:val="2E75B6"/>
          <w:sz w:val="26"/>
          <w:szCs w:val="26"/>
        </w:rPr>
        <w:t xml:space="preserve">4.4 Plan de complétion Phase 3</w:t>
      </w:r>
    </w:p>
    <w:p>
      <w:pPr>
        <w:pStyle w:val="ListParagraph"/>
        <w:numPr>
          <w:ilvl w:val="0"/>
          <w:numId w:val="2"/>
        </w:numPr>
        <w:spacing w:after="40" w:before="40"/>
      </w:pPr>
      <w:r>
        <w:rPr>
          <w:rFonts w:ascii="Arial" w:cs="Arial" w:eastAsia="Arial" w:hAnsi="Arial"/>
          <w:sz w:val="20"/>
          <w:szCs w:val="20"/>
        </w:rPr>
        <w:t xml:space="preserve">Migration 008 : créer les tables proposals et votes avec contraintes d'intégrité</w:t>
      </w:r>
    </w:p>
    <w:p>
      <w:pPr>
        <w:pStyle w:val="ListParagraph"/>
        <w:numPr>
          <w:ilvl w:val="0"/>
          <w:numId w:val="3"/>
        </w:numPr>
        <w:spacing w:after="40" w:before="40"/>
      </w:pPr>
      <w:r>
        <w:rPr>
          <w:rFonts w:ascii="Arial" w:cs="Arial" w:eastAsia="Arial" w:hAnsi="Arial"/>
          <w:color w:val="5A5A5A"/>
          <w:sz w:val="19"/>
          <w:szCs w:val="19"/>
        </w:rPr>
        <w:t xml:space="preserve">proposals (id, group_id, proposed_by, base_config_id, new_config_id, diff_summary JSONB, status, created_at, resolved_at)</w:t>
      </w:r>
    </w:p>
    <w:p>
      <w:pPr>
        <w:pStyle w:val="ListParagraph"/>
        <w:numPr>
          <w:ilvl w:val="0"/>
          <w:numId w:val="3"/>
        </w:numPr>
        <w:spacing w:after="40" w:before="40"/>
      </w:pPr>
      <w:r>
        <w:rPr>
          <w:rFonts w:ascii="Arial" w:cs="Arial" w:eastAsia="Arial" w:hAnsi="Arial"/>
          <w:color w:val="5A5A5A"/>
          <w:sz w:val="19"/>
          <w:szCs w:val="19"/>
        </w:rPr>
        <w:t xml:space="preserve">proposal_votes (id, proposal_id, identity_id, decision, voted_at) — UNIQUE(proposal_id, identity_id)</w:t>
      </w:r>
    </w:p>
    <w:p>
      <w:pPr>
        <w:pStyle w:val="ListParagraph"/>
        <w:numPr>
          <w:ilvl w:val="0"/>
          <w:numId w:val="2"/>
        </w:numPr>
        <w:spacing w:after="40" w:before="40"/>
      </w:pPr>
      <w:r>
        <w:rPr>
          <w:rFonts w:ascii="Arial" w:cs="Arial" w:eastAsia="Arial" w:hAnsi="Arial"/>
          <w:sz w:val="20"/>
          <w:szCs w:val="20"/>
        </w:rPr>
        <w:t xml:space="preserve">Implémenter PostgresProposalStore : toutes les méthodes de l'interface ProposalStore</w:t>
      </w:r>
    </w:p>
    <w:p>
      <w:pPr>
        <w:pStyle w:val="ListParagraph"/>
        <w:numPr>
          <w:ilvl w:val="0"/>
          <w:numId w:val="2"/>
        </w:numPr>
        <w:spacing w:after="40" w:before="40"/>
      </w:pPr>
      <w:r>
        <w:rPr>
          <w:rFonts w:ascii="Arial" w:cs="Arial" w:eastAsia="Arial" w:hAnsi="Arial"/>
          <w:sz w:val="20"/>
          <w:szCs w:val="20"/>
        </w:rPr>
        <w:t xml:space="preserve">Connecter le commit d'une proposition approuvée à la mise à jour de tontine_groups.active_config_id</w:t>
      </w:r>
    </w:p>
    <w:p>
      <w:pPr>
        <w:pStyle w:val="ListParagraph"/>
        <w:numPr>
          <w:ilvl w:val="0"/>
          <w:numId w:val="2"/>
        </w:numPr>
        <w:spacing w:after="40" w:before="40"/>
      </w:pPr>
      <w:r>
        <w:rPr>
          <w:rFonts w:ascii="Arial" w:cs="Arial" w:eastAsia="Arial" w:hAnsi="Arial"/>
          <w:sz w:val="20"/>
          <w:szCs w:val="20"/>
        </w:rPr>
        <w:t xml:space="preserve">Implémenter l'endpoint d'export d'audit (query ledger + contributions par groupe, format JSON/CSV)</w:t>
      </w:r>
    </w:p>
    <w:p>
      <w:pPr>
        <w:pStyle w:val="ListParagraph"/>
        <w:numPr>
          <w:ilvl w:val="0"/>
          <w:numId w:val="2"/>
        </w:numPr>
        <w:spacing w:after="40" w:before="40"/>
      </w:pPr>
      <w:r>
        <w:rPr>
          <w:rFonts w:ascii="Arial" w:cs="Arial" w:eastAsia="Arial" w:hAnsi="Arial"/>
          <w:sz w:val="20"/>
          <w:szCs w:val="20"/>
        </w:rPr>
        <w:t xml:space="preserve">Intégration end-to-end : proposition → vote → résolution → nouveau cycle avec nouvelle config</w:t>
      </w:r>
    </w:p>
    <w:p>
      <w:pPr>
        <w:spacing w:after="60" w:before="60"/>
      </w:pPr>
      <w:r>
        <w:rPr>
          <w:rFonts w:ascii="Arial" w:cs="Arial" w:eastAsia="Arial" w:hAnsi="Arial"/>
        </w:rPr>
        <w:t xml:space="preserve"/>
      </w:r>
    </w:p>
    <w:p>
      <w:r>
        <w:br w:type="page"/>
      </w:r>
    </w:p>
    <w:p>
      <w:pPr>
        <w:pStyle w:val="Heading1"/>
        <w:spacing w:after="180" w:before="360"/>
      </w:pPr>
      <w:r>
        <w:rPr>
          <w:rFonts w:ascii="Arial" w:cs="Arial" w:eastAsia="Arial" w:hAnsi="Arial"/>
          <w:b/>
          <w:bCs/>
          <w:color w:val="1A3A5C"/>
          <w:sz w:val="32"/>
          <w:szCs w:val="32"/>
        </w:rPr>
        <w:t xml:space="preserve">5. Écarts Documentaires — Ajustements Requis</w:t>
      </w:r>
    </w:p>
    <w:p>
      <w:pPr>
        <w:spacing w:after="100" w:before="60"/>
      </w:pPr>
      <w:r>
        <w:rPr>
          <w:rFonts w:ascii="Arial" w:cs="Arial" w:eastAsia="Arial" w:hAnsi="Arial"/>
          <w:sz w:val="22"/>
          <w:szCs w:val="22"/>
        </w:rPr>
        <w:t xml:space="preserve">Les sections suivantes détaillent les divergences constatées entre le code implémenté et les deux documents de référence (CDC et Cahier Technique). Chaque écart est accompagné d'une correction recommandée.</w:t>
      </w:r>
    </w:p>
    <w:p>
      <w:pPr>
        <w:spacing w:after="60" w:before="60"/>
      </w:pPr>
      <w:r>
        <w:rPr>
          <w:rFonts w:ascii="Arial" w:cs="Arial" w:eastAsia="Arial" w:hAnsi="Arial"/>
        </w:rPr>
        <w:t xml:space="preserve"/>
      </w:r>
    </w:p>
    <w:p>
      <w:pPr>
        <w:pStyle w:val="Heading2"/>
        <w:spacing w:after="120" w:before="280"/>
      </w:pPr>
      <w:r>
        <w:rPr>
          <w:rFonts w:ascii="Arial" w:cs="Arial" w:eastAsia="Arial" w:hAnsi="Arial"/>
          <w:b/>
          <w:bCs/>
          <w:color w:val="2E75B6"/>
          <w:sz w:val="26"/>
          <w:szCs w:val="26"/>
        </w:rPr>
        <w:t xml:space="preserve">5.1 Écarts Cahier Technique (CT)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3000"/>
        <w:gridCol w:w="3226"/>
      </w:tblGrid>
      <w:tr>
        <w:trPr>
          <w:tblHeader/>
        </w:trPr>
        <w:tc>
          <w:tcPr>
            <w:tcW w:type="dxa" w:w="8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Réf.</w:t>
            </w:r>
          </w:p>
        </w:tc>
        <w:tc>
          <w:tcPr>
            <w:tcW w:type="dxa" w:w="20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Document</w:t>
            </w:r>
          </w:p>
        </w:tc>
        <w:tc>
          <w:tcPr>
            <w:tcW w:type="dxa" w:w="30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Écart constaté</w:t>
            </w:r>
          </w:p>
        </w:tc>
        <w:tc>
          <w:tcPr>
            <w:tcW w:type="dxa" w:w="3226"/>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Correction recommandée</w:t>
            </w:r>
          </w:p>
        </w:tc>
      </w:tr>
      <w:tr>
        <w:tc>
          <w:tcPr>
            <w:tcW w:type="dxa" w:w="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bCs/>
                <w:color w:val="1A3A5C"/>
                <w:sz w:val="18"/>
                <w:szCs w:val="18"/>
              </w:rPr>
              <w:t xml:space="preserve">CT-01</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CT §6.1 Arborescence</w:t>
            </w:r>
          </w:p>
        </w:tc>
        <w:tc>
          <w:tcPr>
            <w:tcW w:type="dxa" w:w="3000"/>
            <w:tcBorders>
              <w:top w:val="single" w:color="CCCCCC" w:sz="4"/>
              <w:left w:val="single" w:color="CCCCCC" w:sz="4"/>
              <w:bottom w:val="single" w:color="CCCCCC" w:sz="4"/>
              <w:right w:val="single" w:color="CCCCCC" w:sz="4"/>
            </w:tcBorders>
            <w:shd w:fill="FFF8E6" w:val="clear"/>
            <w:tcMar>
              <w:top w:type="dxa" w:w="60"/>
              <w:left w:type="dxa" w:w="120"/>
              <w:bottom w:type="dxa" w:w="60"/>
              <w:right w:type="dxa" w:w="120"/>
            </w:tcMar>
          </w:tcPr>
          <w:p>
            <w:r>
              <w:rPr>
                <w:rFonts w:ascii="Arial" w:cs="Arial" w:eastAsia="Arial" w:hAnsi="Arial"/>
                <w:b w:val="false"/>
                <w:bCs w:val="false"/>
                <w:color w:val="8B5E00"/>
                <w:sz w:val="18"/>
                <w:szCs w:val="18"/>
              </w:rPr>
              <w:t xml:space="preserve">L'arborescence documentée ne correspond pas à la structure réelle. CT liste kernel/src/ledger/ et kernel/src/saga/ qui n'existent pas — le ledger est dans domain/ledger.rs et il n'y a pas de module saga/ séparé.</w:t>
            </w:r>
          </w:p>
        </w:tc>
        <w:tc>
          <w:tcPr>
            <w:tcW w:type="dxa" w:w="3226"/>
            <w:tcBorders>
              <w:top w:val="single" w:color="CCCCCC" w:sz="4"/>
              <w:left w:val="single" w:color="CCCCCC" w:sz="4"/>
              <w:bottom w:val="single" w:color="CCCCCC" w:sz="4"/>
              <w:right w:val="single" w:color="CCCCCC" w:sz="4"/>
            </w:tcBorders>
            <w:shd w:fill="E8F5ED" w:val="clear"/>
            <w:tcMar>
              <w:top w:type="dxa" w:w="60"/>
              <w:left w:type="dxa" w:w="120"/>
              <w:bottom w:type="dxa" w:w="60"/>
              <w:right w:type="dxa" w:w="120"/>
            </w:tcMar>
          </w:tcPr>
          <w:p>
            <w:r>
              <w:rPr>
                <w:rFonts w:ascii="Arial" w:cs="Arial" w:eastAsia="Arial" w:hAnsi="Arial"/>
                <w:b w:val="false"/>
                <w:bCs w:val="false"/>
                <w:color w:val="1F6B3A"/>
                <w:sz w:val="18"/>
                <w:szCs w:val="18"/>
              </w:rPr>
              <w:t xml:space="preserve">Mettre à jour §6.1 pour refléter la structure réelle : kernel/src/domain/ (cycle, ledger, identity, events), kernel/src/application/, kernel/src/ports/, kernel/src/infrastructure/.</w:t>
            </w:r>
          </w:p>
        </w:tc>
      </w:tr>
      <w:tr>
        <w:tc>
          <w:tcPr>
            <w:tcW w:type="dxa" w:w="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bCs/>
                <w:color w:val="1A3A5C"/>
                <w:sz w:val="18"/>
                <w:szCs w:val="18"/>
              </w:rPr>
              <w:t xml:space="preserve">CT-02</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CT §4.1 Code evaluate_payout_eligibility</w:t>
            </w:r>
          </w:p>
        </w:tc>
        <w:tc>
          <w:tcPr>
            <w:tcW w:type="dxa" w:w="3000"/>
            <w:tcBorders>
              <w:top w:val="single" w:color="CCCCCC" w:sz="4"/>
              <w:left w:val="single" w:color="CCCCCC" w:sz="4"/>
              <w:bottom w:val="single" w:color="CCCCCC" w:sz="4"/>
              <w:right w:val="single" w:color="CCCCCC" w:sz="4"/>
            </w:tcBorders>
            <w:shd w:fill="FFF8E6" w:val="clear"/>
            <w:tcMar>
              <w:top w:type="dxa" w:w="60"/>
              <w:left w:type="dxa" w:w="120"/>
              <w:bottom w:type="dxa" w:w="60"/>
              <w:right w:type="dxa" w:w="120"/>
            </w:tcMar>
          </w:tcPr>
          <w:p>
            <w:r>
              <w:rPr>
                <w:rFonts w:ascii="Arial" w:cs="Arial" w:eastAsia="Arial" w:hAnsi="Arial"/>
                <w:b w:val="false"/>
                <w:bCs w:val="false"/>
                <w:color w:val="8B5E00"/>
                <w:sz w:val="18"/>
                <w:szCs w:val="18"/>
              </w:rPr>
              <w:t xml:space="preserve">Le CT montre une implémentation avec match tuple (match (cond1, cond2, cond3, cond4) { ... }). Le code réel utilise des if séquentiels. Les deux sont fonctionnellement équivalents mais la documentation induit en erreur.</w:t>
            </w:r>
          </w:p>
        </w:tc>
        <w:tc>
          <w:tcPr>
            <w:tcW w:type="dxa" w:w="3226"/>
            <w:tcBorders>
              <w:top w:val="single" w:color="CCCCCC" w:sz="4"/>
              <w:left w:val="single" w:color="CCCCCC" w:sz="4"/>
              <w:bottom w:val="single" w:color="CCCCCC" w:sz="4"/>
              <w:right w:val="single" w:color="CCCCCC" w:sz="4"/>
            </w:tcBorders>
            <w:shd w:fill="E8F5ED" w:val="clear"/>
            <w:tcMar>
              <w:top w:type="dxa" w:w="60"/>
              <w:left w:type="dxa" w:w="120"/>
              <w:bottom w:type="dxa" w:w="60"/>
              <w:right w:type="dxa" w:w="120"/>
            </w:tcMar>
          </w:tcPr>
          <w:p>
            <w:r>
              <w:rPr>
                <w:rFonts w:ascii="Arial" w:cs="Arial" w:eastAsia="Arial" w:hAnsi="Arial"/>
                <w:b w:val="false"/>
                <w:bCs w:val="false"/>
                <w:color w:val="1F6B3A"/>
                <w:sz w:val="18"/>
                <w:szCs w:val="18"/>
              </w:rPr>
              <w:t xml:space="preserve">Mettre à jour le bloc de code CT §4.1 pour refléter les if séquentiels réels avec commentaires d'invariants.</w:t>
            </w:r>
          </w:p>
        </w:tc>
      </w:tr>
      <w:tr>
        <w:tc>
          <w:tcPr>
            <w:tcW w:type="dxa" w:w="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bCs/>
                <w:color w:val="1A3A5C"/>
                <w:sz w:val="18"/>
                <w:szCs w:val="18"/>
              </w:rPr>
              <w:t xml:space="preserve">CT-03</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CT Annexe B
Contraintes SQL</w:t>
            </w:r>
          </w:p>
        </w:tc>
        <w:tc>
          <w:tcPr>
            <w:tcW w:type="dxa" w:w="3000"/>
            <w:tcBorders>
              <w:top w:val="single" w:color="CCCCCC" w:sz="4"/>
              <w:left w:val="single" w:color="CCCCCC" w:sz="4"/>
              <w:bottom w:val="single" w:color="CCCCCC" w:sz="4"/>
              <w:right w:val="single" w:color="CCCCCC" w:sz="4"/>
            </w:tcBorders>
            <w:shd w:fill="FFF8E6" w:val="clear"/>
            <w:tcMar>
              <w:top w:type="dxa" w:w="60"/>
              <w:left w:type="dxa" w:w="120"/>
              <w:bottom w:type="dxa" w:w="60"/>
              <w:right w:type="dxa" w:w="120"/>
            </w:tcMar>
          </w:tcPr>
          <w:p>
            <w:r>
              <w:rPr>
                <w:rFonts w:ascii="Arial" w:cs="Arial" w:eastAsia="Arial" w:hAnsi="Arial"/>
                <w:b w:val="false"/>
                <w:bCs w:val="false"/>
                <w:color w:val="8B5E00"/>
                <w:sz w:val="18"/>
                <w:szCs w:val="18"/>
              </w:rPr>
              <w:t xml:space="preserve">La migration 007 (prevent_non_committed_cycle_contribution) est absente de l'Annexe B. Elle constitue un garde-fou critique documenté uniquement dans le code.</w:t>
            </w:r>
          </w:p>
        </w:tc>
        <w:tc>
          <w:tcPr>
            <w:tcW w:type="dxa" w:w="3226"/>
            <w:tcBorders>
              <w:top w:val="single" w:color="CCCCCC" w:sz="4"/>
              <w:left w:val="single" w:color="CCCCCC" w:sz="4"/>
              <w:bottom w:val="single" w:color="CCCCCC" w:sz="4"/>
              <w:right w:val="single" w:color="CCCCCC" w:sz="4"/>
            </w:tcBorders>
            <w:shd w:fill="E8F5ED" w:val="clear"/>
            <w:tcMar>
              <w:top w:type="dxa" w:w="60"/>
              <w:left w:type="dxa" w:w="120"/>
              <w:bottom w:type="dxa" w:w="60"/>
              <w:right w:type="dxa" w:w="120"/>
            </w:tcMar>
          </w:tcPr>
          <w:p>
            <w:r>
              <w:rPr>
                <w:rFonts w:ascii="Arial" w:cs="Arial" w:eastAsia="Arial" w:hAnsi="Arial"/>
                <w:b w:val="false"/>
                <w:bCs w:val="false"/>
                <w:color w:val="1F6B3A"/>
                <w:sz w:val="18"/>
                <w:szCs w:val="18"/>
              </w:rPr>
              <w:t xml:space="preserve">Ajouter la migration 007 à l'Annexe B avec sa description : trigger PostgreSQL bloquant les contributions sur cycles non-committed.</w:t>
            </w:r>
          </w:p>
        </w:tc>
      </w:tr>
      <w:tr>
        <w:tc>
          <w:tcPr>
            <w:tcW w:type="dxa" w:w="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bCs/>
                <w:color w:val="1A3A5C"/>
                <w:sz w:val="18"/>
                <w:szCs w:val="18"/>
              </w:rPr>
              <w:t xml:space="preserve">CT-04</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CT §7.3 Commandes
de démarrage</w:t>
            </w:r>
          </w:p>
        </w:tc>
        <w:tc>
          <w:tcPr>
            <w:tcW w:type="dxa" w:w="3000"/>
            <w:tcBorders>
              <w:top w:val="single" w:color="CCCCCC" w:sz="4"/>
              <w:left w:val="single" w:color="CCCCCC" w:sz="4"/>
              <w:bottom w:val="single" w:color="CCCCCC" w:sz="4"/>
              <w:right w:val="single" w:color="CCCCCC" w:sz="4"/>
            </w:tcBorders>
            <w:shd w:fill="FFF8E6" w:val="clear"/>
            <w:tcMar>
              <w:top w:type="dxa" w:w="60"/>
              <w:left w:type="dxa" w:w="120"/>
              <w:bottom w:type="dxa" w:w="60"/>
              <w:right w:type="dxa" w:w="120"/>
            </w:tcMar>
          </w:tcPr>
          <w:p>
            <w:r>
              <w:rPr>
                <w:rFonts w:ascii="Arial" w:cs="Arial" w:eastAsia="Arial" w:hAnsi="Arial"/>
                <w:b w:val="false"/>
                <w:bCs w:val="false"/>
                <w:color w:val="8B5E00"/>
                <w:sz w:val="18"/>
                <w:szCs w:val="18"/>
              </w:rPr>
              <w:t xml:space="preserve">Les commandes documentées (cargo build --release, cd api &amp;&amp; go run main.go) ne correspondent pas au Makefile réel qui expose make kernel-run, make outbox-run, make api-run, make simulator-run.</w:t>
            </w:r>
          </w:p>
        </w:tc>
        <w:tc>
          <w:tcPr>
            <w:tcW w:type="dxa" w:w="3226"/>
            <w:tcBorders>
              <w:top w:val="single" w:color="CCCCCC" w:sz="4"/>
              <w:left w:val="single" w:color="CCCCCC" w:sz="4"/>
              <w:bottom w:val="single" w:color="CCCCCC" w:sz="4"/>
              <w:right w:val="single" w:color="CCCCCC" w:sz="4"/>
            </w:tcBorders>
            <w:shd w:fill="E8F5ED" w:val="clear"/>
            <w:tcMar>
              <w:top w:type="dxa" w:w="60"/>
              <w:left w:type="dxa" w:w="120"/>
              <w:bottom w:type="dxa" w:w="60"/>
              <w:right w:type="dxa" w:w="120"/>
            </w:tcMar>
          </w:tcPr>
          <w:p>
            <w:r>
              <w:rPr>
                <w:rFonts w:ascii="Arial" w:cs="Arial" w:eastAsia="Arial" w:hAnsi="Arial"/>
                <w:b w:val="false"/>
                <w:bCs w:val="false"/>
                <w:color w:val="1F6B3A"/>
                <w:sz w:val="18"/>
                <w:szCs w:val="18"/>
              </w:rPr>
              <w:t xml:space="preserve">Remplacer §7.3 par les commandes Makefile réelles, plus fiables et maintenables.</w:t>
            </w:r>
          </w:p>
        </w:tc>
      </w:tr>
      <w:tr>
        <w:tc>
          <w:tcPr>
            <w:tcW w:type="dxa" w:w="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bCs/>
                <w:color w:val="1A3A5C"/>
                <w:sz w:val="18"/>
                <w:szCs w:val="18"/>
              </w:rPr>
              <w:t xml:space="preserve">CT-05</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CT §2.1 Stack
File de messages</w:t>
            </w:r>
          </w:p>
        </w:tc>
        <w:tc>
          <w:tcPr>
            <w:tcW w:type="dxa" w:w="3000"/>
            <w:tcBorders>
              <w:top w:val="single" w:color="CCCCCC" w:sz="4"/>
              <w:left w:val="single" w:color="CCCCCC" w:sz="4"/>
              <w:bottom w:val="single" w:color="CCCCCC" w:sz="4"/>
              <w:right w:val="single" w:color="CCCCCC" w:sz="4"/>
            </w:tcBorders>
            <w:shd w:fill="FFF8E6" w:val="clear"/>
            <w:tcMar>
              <w:top w:type="dxa" w:w="60"/>
              <w:left w:type="dxa" w:w="120"/>
              <w:bottom w:type="dxa" w:w="60"/>
              <w:right w:type="dxa" w:w="120"/>
            </w:tcMar>
          </w:tcPr>
          <w:p>
            <w:r>
              <w:rPr>
                <w:rFonts w:ascii="Arial" w:cs="Arial" w:eastAsia="Arial" w:hAnsi="Arial"/>
                <w:b w:val="false"/>
                <w:bCs w:val="false"/>
                <w:color w:val="8B5E00"/>
                <w:sz w:val="18"/>
                <w:szCs w:val="18"/>
              </w:rPr>
              <w:t xml:space="preserve">NATS JetStream est documenté comme file de messages active. En réalité Phase 1 et 2 n'utilisent pas NATS activement — l'outbox communique directement avec le kernel via HTTP interne.</w:t>
            </w:r>
          </w:p>
        </w:tc>
        <w:tc>
          <w:tcPr>
            <w:tcW w:type="dxa" w:w="3226"/>
            <w:tcBorders>
              <w:top w:val="single" w:color="CCCCCC" w:sz="4"/>
              <w:left w:val="single" w:color="CCCCCC" w:sz="4"/>
              <w:bottom w:val="single" w:color="CCCCCC" w:sz="4"/>
              <w:right w:val="single" w:color="CCCCCC" w:sz="4"/>
            </w:tcBorders>
            <w:shd w:fill="E8F5ED" w:val="clear"/>
            <w:tcMar>
              <w:top w:type="dxa" w:w="60"/>
              <w:left w:type="dxa" w:w="120"/>
              <w:bottom w:type="dxa" w:w="60"/>
              <w:right w:type="dxa" w:w="120"/>
            </w:tcMar>
          </w:tcPr>
          <w:p>
            <w:r>
              <w:rPr>
                <w:rFonts w:ascii="Arial" w:cs="Arial" w:eastAsia="Arial" w:hAnsi="Arial"/>
                <w:b w:val="false"/>
                <w:bCs w:val="false"/>
                <w:color w:val="1F6B3A"/>
                <w:sz w:val="18"/>
                <w:szCs w:val="18"/>
              </w:rPr>
              <w:t xml:space="preserve">Clarifier : NATS est présent dans docker-compose pour les phases suivantes. Phase 1-2 utilisent l'outbox HTTP direct. Phase 3+ activera NATS pour la propagation d'événements sociaux.</w:t>
            </w:r>
          </w:p>
        </w:tc>
      </w:tr>
      <w:tr>
        <w:tc>
          <w:tcPr>
            <w:tcW w:type="dxa" w:w="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bCs/>
                <w:color w:val="1A3A5C"/>
                <w:sz w:val="18"/>
                <w:szCs w:val="18"/>
              </w:rPr>
              <w:t xml:space="preserve">CT-06</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CT §3.4 direction
colonne ledger</w:t>
            </w:r>
          </w:p>
        </w:tc>
        <w:tc>
          <w:tcPr>
            <w:tcW w:type="dxa" w:w="3000"/>
            <w:tcBorders>
              <w:top w:val="single" w:color="CCCCCC" w:sz="4"/>
              <w:left w:val="single" w:color="CCCCCC" w:sz="4"/>
              <w:bottom w:val="single" w:color="CCCCCC" w:sz="4"/>
              <w:right w:val="single" w:color="CCCCCC" w:sz="4"/>
            </w:tcBorders>
            <w:shd w:fill="FFF8E6" w:val="clear"/>
            <w:tcMar>
              <w:top w:type="dxa" w:w="60"/>
              <w:left w:type="dxa" w:w="120"/>
              <w:bottom w:type="dxa" w:w="60"/>
              <w:right w:type="dxa" w:w="120"/>
            </w:tcMar>
          </w:tcPr>
          <w:p>
            <w:r>
              <w:rPr>
                <w:rFonts w:ascii="Arial" w:cs="Arial" w:eastAsia="Arial" w:hAnsi="Arial"/>
                <w:b w:val="false"/>
                <w:bCs w:val="false"/>
                <w:color w:val="8B5E00"/>
                <w:sz w:val="18"/>
                <w:szCs w:val="18"/>
              </w:rPr>
              <w:t xml:space="preserve">Le CT documente direction CHAR(1) avec '+' crédit et '-' débit. Le code Rust utilise un enum Direction { Credit, Debit } et le SQL utilise probablement TEXT ou un ENUM personnalisé.</w:t>
            </w:r>
          </w:p>
        </w:tc>
        <w:tc>
          <w:tcPr>
            <w:tcW w:type="dxa" w:w="3226"/>
            <w:tcBorders>
              <w:top w:val="single" w:color="CCCCCC" w:sz="4"/>
              <w:left w:val="single" w:color="CCCCCC" w:sz="4"/>
              <w:bottom w:val="single" w:color="CCCCCC" w:sz="4"/>
              <w:right w:val="single" w:color="CCCCCC" w:sz="4"/>
            </w:tcBorders>
            <w:shd w:fill="E8F5ED" w:val="clear"/>
            <w:tcMar>
              <w:top w:type="dxa" w:w="60"/>
              <w:left w:type="dxa" w:w="120"/>
              <w:bottom w:type="dxa" w:w="60"/>
              <w:right w:type="dxa" w:w="120"/>
            </w:tcMar>
          </w:tcPr>
          <w:p>
            <w:r>
              <w:rPr>
                <w:rFonts w:ascii="Arial" w:cs="Arial" w:eastAsia="Arial" w:hAnsi="Arial"/>
                <w:b w:val="false"/>
                <w:bCs w:val="false"/>
                <w:color w:val="1F6B3A"/>
                <w:sz w:val="18"/>
                <w:szCs w:val="18"/>
              </w:rPr>
              <w:t xml:space="preserve">Aligner la documentation avec le type réel. Vérifier le SQL de migration 004 et corriger la colonne direction.</w:t>
            </w:r>
          </w:p>
        </w:tc>
      </w:tr>
    </w:tbl>
    <w:p>
      <w:pPr>
        <w:spacing w:after="60" w:before="60"/>
      </w:pPr>
      <w:r>
        <w:rPr>
          <w:rFonts w:ascii="Arial" w:cs="Arial" w:eastAsia="Arial" w:hAnsi="Arial"/>
        </w:rPr>
        <w:t xml:space="preserve"/>
      </w:r>
    </w:p>
    <w:p>
      <w:pPr>
        <w:pStyle w:val="Heading2"/>
        <w:spacing w:after="120" w:before="280"/>
      </w:pPr>
      <w:r>
        <w:rPr>
          <w:rFonts w:ascii="Arial" w:cs="Arial" w:eastAsia="Arial" w:hAnsi="Arial"/>
          <w:b/>
          <w:bCs/>
          <w:color w:val="2E75B6"/>
          <w:sz w:val="26"/>
          <w:szCs w:val="26"/>
        </w:rPr>
        <w:t xml:space="preserve">5.2 Écarts Cahier des Charges (CDC)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3000"/>
        <w:gridCol w:w="3226"/>
      </w:tblGrid>
      <w:tr>
        <w:trPr>
          <w:tblHeader/>
        </w:trPr>
        <w:tc>
          <w:tcPr>
            <w:tcW w:type="dxa" w:w="8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Réf.</w:t>
            </w:r>
          </w:p>
        </w:tc>
        <w:tc>
          <w:tcPr>
            <w:tcW w:type="dxa" w:w="20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Document</w:t>
            </w:r>
          </w:p>
        </w:tc>
        <w:tc>
          <w:tcPr>
            <w:tcW w:type="dxa" w:w="30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Écart constaté</w:t>
            </w:r>
          </w:p>
        </w:tc>
        <w:tc>
          <w:tcPr>
            <w:tcW w:type="dxa" w:w="3226"/>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Correction recommandée</w:t>
            </w:r>
          </w:p>
        </w:tc>
      </w:tr>
      <w:tr>
        <w:tc>
          <w:tcPr>
            <w:tcW w:type="dxa" w:w="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bCs/>
                <w:color w:val="1A3A5C"/>
                <w:sz w:val="18"/>
                <w:szCs w:val="18"/>
              </w:rPr>
              <w:t xml:space="preserve">CDC-01</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CDC §8.1 Statut Phase 1</w:t>
            </w:r>
          </w:p>
        </w:tc>
        <w:tc>
          <w:tcPr>
            <w:tcW w:type="dxa" w:w="3000"/>
            <w:tcBorders>
              <w:top w:val="single" w:color="CCCCCC" w:sz="4"/>
              <w:left w:val="single" w:color="CCCCCC" w:sz="4"/>
              <w:bottom w:val="single" w:color="CCCCCC" w:sz="4"/>
              <w:right w:val="single" w:color="CCCCCC" w:sz="4"/>
            </w:tcBorders>
            <w:shd w:fill="FFF8E6" w:val="clear"/>
            <w:tcMar>
              <w:top w:type="dxa" w:w="60"/>
              <w:left w:type="dxa" w:w="120"/>
              <w:bottom w:type="dxa" w:w="60"/>
              <w:right w:type="dxa" w:w="120"/>
            </w:tcMar>
          </w:tcPr>
          <w:p>
            <w:r>
              <w:rPr>
                <w:rFonts w:ascii="Arial" w:cs="Arial" w:eastAsia="Arial" w:hAnsi="Arial"/>
                <w:b w:val="false"/>
                <w:bCs w:val="false"/>
                <w:color w:val="8B5E00"/>
                <w:sz w:val="18"/>
                <w:szCs w:val="18"/>
              </w:rPr>
              <w:t xml:space="preserve">Phase 1 documentée comme 'prévue sur 8 semaines'. Elle est en réalité réalisée et validée localement. Le statut doit refléter l'état actuel.</w:t>
            </w:r>
          </w:p>
        </w:tc>
        <w:tc>
          <w:tcPr>
            <w:tcW w:type="dxa" w:w="3226"/>
            <w:tcBorders>
              <w:top w:val="single" w:color="CCCCCC" w:sz="4"/>
              <w:left w:val="single" w:color="CCCCCC" w:sz="4"/>
              <w:bottom w:val="single" w:color="CCCCCC" w:sz="4"/>
              <w:right w:val="single" w:color="CCCCCC" w:sz="4"/>
            </w:tcBorders>
            <w:shd w:fill="E8F5ED" w:val="clear"/>
            <w:tcMar>
              <w:top w:type="dxa" w:w="60"/>
              <w:left w:type="dxa" w:w="120"/>
              <w:bottom w:type="dxa" w:w="60"/>
              <w:right w:type="dxa" w:w="120"/>
            </w:tcMar>
          </w:tcPr>
          <w:p>
            <w:r>
              <w:rPr>
                <w:rFonts w:ascii="Arial" w:cs="Arial" w:eastAsia="Arial" w:hAnsi="Arial"/>
                <w:b w:val="false"/>
                <w:bCs w:val="false"/>
                <w:color w:val="1F6B3A"/>
                <w:sz w:val="18"/>
                <w:szCs w:val="18"/>
              </w:rPr>
              <w:t xml:space="preserve">Mettre à jour le tableau §8.1 : Phase 1 = Réalisée. Critère de sortie atteint en environnement local.</w:t>
            </w:r>
          </w:p>
        </w:tc>
      </w:tr>
      <w:tr>
        <w:tc>
          <w:tcPr>
            <w:tcW w:type="dxa" w:w="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bCs/>
                <w:color w:val="1A3A5C"/>
                <w:sz w:val="18"/>
                <w:szCs w:val="18"/>
              </w:rPr>
              <w:t xml:space="preserve">CDC-02</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CDC §8.1 Statut Phase 2</w:t>
            </w:r>
          </w:p>
        </w:tc>
        <w:tc>
          <w:tcPr>
            <w:tcW w:type="dxa" w:w="3000"/>
            <w:tcBorders>
              <w:top w:val="single" w:color="CCCCCC" w:sz="4"/>
              <w:left w:val="single" w:color="CCCCCC" w:sz="4"/>
              <w:bottom w:val="single" w:color="CCCCCC" w:sz="4"/>
              <w:right w:val="single" w:color="CCCCCC" w:sz="4"/>
            </w:tcBorders>
            <w:shd w:fill="FFF8E6" w:val="clear"/>
            <w:tcMar>
              <w:top w:type="dxa" w:w="60"/>
              <w:left w:type="dxa" w:w="120"/>
              <w:bottom w:type="dxa" w:w="60"/>
              <w:right w:type="dxa" w:w="120"/>
            </w:tcMar>
          </w:tcPr>
          <w:p>
            <w:r>
              <w:rPr>
                <w:rFonts w:ascii="Arial" w:cs="Arial" w:eastAsia="Arial" w:hAnsi="Arial"/>
                <w:b w:val="false"/>
                <w:bCs w:val="false"/>
                <w:color w:val="8B5E00"/>
                <w:sz w:val="18"/>
                <w:szCs w:val="18"/>
              </w:rPr>
              <w:t xml:space="preserve">Phase 2 documentée comme 'prévue sur 6 semaines'. Elle est partiellement réalisée (simulateur validé, agrégateur réel manquant).</w:t>
            </w:r>
          </w:p>
        </w:tc>
        <w:tc>
          <w:tcPr>
            <w:tcW w:type="dxa" w:w="3226"/>
            <w:tcBorders>
              <w:top w:val="single" w:color="CCCCCC" w:sz="4"/>
              <w:left w:val="single" w:color="CCCCCC" w:sz="4"/>
              <w:bottom w:val="single" w:color="CCCCCC" w:sz="4"/>
              <w:right w:val="single" w:color="CCCCCC" w:sz="4"/>
            </w:tcBorders>
            <w:shd w:fill="E8F5ED" w:val="clear"/>
            <w:tcMar>
              <w:top w:type="dxa" w:w="60"/>
              <w:left w:type="dxa" w:w="120"/>
              <w:bottom w:type="dxa" w:w="60"/>
              <w:right w:type="dxa" w:w="120"/>
            </w:tcMar>
          </w:tcPr>
          <w:p>
            <w:r>
              <w:rPr>
                <w:rFonts w:ascii="Arial" w:cs="Arial" w:eastAsia="Arial" w:hAnsi="Arial"/>
                <w:b w:val="false"/>
                <w:bCs w:val="false"/>
                <w:color w:val="1F6B3A"/>
                <w:sz w:val="18"/>
                <w:szCs w:val="18"/>
              </w:rPr>
              <w:t xml:space="preserve">Mettre à jour §8.1 : Phase 2 = Partiellement réalisée (simulateur). Condition restante : intégration agrégateur agréé.</w:t>
            </w:r>
          </w:p>
        </w:tc>
      </w:tr>
      <w:tr>
        <w:tc>
          <w:tcPr>
            <w:tcW w:type="dxa" w:w="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bCs/>
                <w:color w:val="1A3A5C"/>
                <w:sz w:val="18"/>
                <w:szCs w:val="18"/>
              </w:rPr>
              <w:t xml:space="preserve">CDC-03</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CDC §8.1 Statut Phase 3</w:t>
            </w:r>
          </w:p>
        </w:tc>
        <w:tc>
          <w:tcPr>
            <w:tcW w:type="dxa" w:w="3000"/>
            <w:tcBorders>
              <w:top w:val="single" w:color="CCCCCC" w:sz="4"/>
              <w:left w:val="single" w:color="CCCCCC" w:sz="4"/>
              <w:bottom w:val="single" w:color="CCCCCC" w:sz="4"/>
              <w:right w:val="single" w:color="CCCCCC" w:sz="4"/>
            </w:tcBorders>
            <w:shd w:fill="FFF8E6" w:val="clear"/>
            <w:tcMar>
              <w:top w:type="dxa" w:w="60"/>
              <w:left w:type="dxa" w:w="120"/>
              <w:bottom w:type="dxa" w:w="60"/>
              <w:right w:type="dxa" w:w="120"/>
            </w:tcMar>
          </w:tcPr>
          <w:p>
            <w:r>
              <w:rPr>
                <w:rFonts w:ascii="Arial" w:cs="Arial" w:eastAsia="Arial" w:hAnsi="Arial"/>
                <w:b w:val="false"/>
                <w:bCs w:val="false"/>
                <w:color w:val="8B5E00"/>
                <w:sz w:val="18"/>
                <w:szCs w:val="18"/>
              </w:rPr>
              <w:t xml:space="preserve">Phase 3 documentée comme future. En réalité, la logique métier et les types sont implémentés. La persistance et l'intégration restent à faire.</w:t>
            </w:r>
          </w:p>
        </w:tc>
        <w:tc>
          <w:tcPr>
            <w:tcW w:type="dxa" w:w="3226"/>
            <w:tcBorders>
              <w:top w:val="single" w:color="CCCCCC" w:sz="4"/>
              <w:left w:val="single" w:color="CCCCCC" w:sz="4"/>
              <w:bottom w:val="single" w:color="CCCCCC" w:sz="4"/>
              <w:right w:val="single" w:color="CCCCCC" w:sz="4"/>
            </w:tcBorders>
            <w:shd w:fill="E8F5ED" w:val="clear"/>
            <w:tcMar>
              <w:top w:type="dxa" w:w="60"/>
              <w:left w:type="dxa" w:w="120"/>
              <w:bottom w:type="dxa" w:w="60"/>
              <w:right w:type="dxa" w:w="120"/>
            </w:tcMar>
          </w:tcPr>
          <w:p>
            <w:r>
              <w:rPr>
                <w:rFonts w:ascii="Arial" w:cs="Arial" w:eastAsia="Arial" w:hAnsi="Arial"/>
                <w:b w:val="false"/>
                <w:bCs w:val="false"/>
                <w:color w:val="1F6B3A"/>
                <w:sz w:val="18"/>
                <w:szCs w:val="18"/>
              </w:rPr>
              <w:t xml:space="preserve">Ajouter une note : Phase 3 — logique métier Go complète. Persistance PostgreSQL et intégration à compléter (estimé 2-3 semaines).</w:t>
            </w:r>
          </w:p>
        </w:tc>
      </w:tr>
      <w:tr>
        <w:tc>
          <w:tcPr>
            <w:tcW w:type="dxa" w:w="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bCs/>
                <w:color w:val="1A3A5C"/>
                <w:sz w:val="18"/>
                <w:szCs w:val="18"/>
              </w:rPr>
              <w:t xml:space="preserve">CDC-04</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CDC §3.2 Hors Périmètre v1</w:t>
            </w:r>
          </w:p>
        </w:tc>
        <w:tc>
          <w:tcPr>
            <w:tcW w:type="dxa" w:w="3000"/>
            <w:tcBorders>
              <w:top w:val="single" w:color="CCCCCC" w:sz="4"/>
              <w:left w:val="single" w:color="CCCCCC" w:sz="4"/>
              <w:bottom w:val="single" w:color="CCCCCC" w:sz="4"/>
              <w:right w:val="single" w:color="CCCCCC" w:sz="4"/>
            </w:tcBorders>
            <w:shd w:fill="FFF8E6" w:val="clear"/>
            <w:tcMar>
              <w:top w:type="dxa" w:w="60"/>
              <w:left w:type="dxa" w:w="120"/>
              <w:bottom w:type="dxa" w:w="60"/>
              <w:right w:type="dxa" w:w="120"/>
            </w:tcMar>
          </w:tcPr>
          <w:p>
            <w:r>
              <w:rPr>
                <w:rFonts w:ascii="Arial" w:cs="Arial" w:eastAsia="Arial" w:hAnsi="Arial"/>
                <w:b w:val="false"/>
                <w:bCs w:val="false"/>
                <w:color w:val="8B5E00"/>
                <w:sz w:val="18"/>
                <w:szCs w:val="18"/>
              </w:rPr>
              <w:t xml:space="preserve">Le document dit 'Interface web d'administration publique : administration en back-office interne'. Adminer est déjà configuré dans docker-compose.</w:t>
            </w:r>
          </w:p>
        </w:tc>
        <w:tc>
          <w:tcPr>
            <w:tcW w:type="dxa" w:w="3226"/>
            <w:tcBorders>
              <w:top w:val="single" w:color="CCCCCC" w:sz="4"/>
              <w:left w:val="single" w:color="CCCCCC" w:sz="4"/>
              <w:bottom w:val="single" w:color="CCCCCC" w:sz="4"/>
              <w:right w:val="single" w:color="CCCCCC" w:sz="4"/>
            </w:tcBorders>
            <w:shd w:fill="E8F5ED" w:val="clear"/>
            <w:tcMar>
              <w:top w:type="dxa" w:w="60"/>
              <w:left w:type="dxa" w:w="120"/>
              <w:bottom w:type="dxa" w:w="60"/>
              <w:right w:type="dxa" w:w="120"/>
            </w:tcMar>
          </w:tcPr>
          <w:p>
            <w:r>
              <w:rPr>
                <w:rFonts w:ascii="Arial" w:cs="Arial" w:eastAsia="Arial" w:hAnsi="Arial"/>
                <w:b w:val="false"/>
                <w:bCs w:val="false"/>
                <w:color w:val="1F6B3A"/>
                <w:sz w:val="18"/>
                <w:szCs w:val="18"/>
              </w:rPr>
              <w:t xml:space="preserve">Clarifier : Adminer est un outil de développement interne. L'interface web publique reste hors périmètre. Préciser la distinction.</w:t>
            </w:r>
          </w:p>
        </w:tc>
      </w:tr>
      <w:tr>
        <w:tc>
          <w:tcPr>
            <w:tcW w:type="dxa" w:w="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bCs/>
                <w:color w:val="1A3A5C"/>
                <w:sz w:val="18"/>
                <w:szCs w:val="18"/>
              </w:rPr>
              <w:t xml:space="preserve">CDC-05</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CDC §5.x Exigences EF-GRP-02
Diff de config</w:t>
            </w:r>
          </w:p>
        </w:tc>
        <w:tc>
          <w:tcPr>
            <w:tcW w:type="dxa" w:w="3000"/>
            <w:tcBorders>
              <w:top w:val="single" w:color="CCCCCC" w:sz="4"/>
              <w:left w:val="single" w:color="CCCCCC" w:sz="4"/>
              <w:bottom w:val="single" w:color="CCCCCC" w:sz="4"/>
              <w:right w:val="single" w:color="CCCCCC" w:sz="4"/>
            </w:tcBorders>
            <w:shd w:fill="FFF8E6" w:val="clear"/>
            <w:tcMar>
              <w:top w:type="dxa" w:w="60"/>
              <w:left w:type="dxa" w:w="120"/>
              <w:bottom w:type="dxa" w:w="60"/>
              <w:right w:type="dxa" w:w="120"/>
            </w:tcMar>
          </w:tcPr>
          <w:p>
            <w:r>
              <w:rPr>
                <w:rFonts w:ascii="Arial" w:cs="Arial" w:eastAsia="Arial" w:hAnsi="Arial"/>
                <w:b w:val="false"/>
                <w:bCs w:val="false"/>
                <w:color w:val="8B5E00"/>
                <w:sz w:val="18"/>
                <w:szCs w:val="18"/>
              </w:rPr>
              <w:t xml:space="preserve">L'exigence de diff versionné soumis à vote est dans CDC §5.2. La Phase 3 l'implémente en avance via ProposalDiff — mais le lien entre CDC et code n'est pas explicité.</w:t>
            </w:r>
          </w:p>
        </w:tc>
        <w:tc>
          <w:tcPr>
            <w:tcW w:type="dxa" w:w="3226"/>
            <w:tcBorders>
              <w:top w:val="single" w:color="CCCCCC" w:sz="4"/>
              <w:left w:val="single" w:color="CCCCCC" w:sz="4"/>
              <w:bottom w:val="single" w:color="CCCCCC" w:sz="4"/>
              <w:right w:val="single" w:color="CCCCCC" w:sz="4"/>
            </w:tcBorders>
            <w:shd w:fill="E8F5ED" w:val="clear"/>
            <w:tcMar>
              <w:top w:type="dxa" w:w="60"/>
              <w:left w:type="dxa" w:w="120"/>
              <w:bottom w:type="dxa" w:w="60"/>
              <w:right w:type="dxa" w:w="120"/>
            </w:tcMar>
          </w:tcPr>
          <w:p>
            <w:r>
              <w:rPr>
                <w:rFonts w:ascii="Arial" w:cs="Arial" w:eastAsia="Arial" w:hAnsi="Arial"/>
                <w:b w:val="false"/>
                <w:bCs w:val="false"/>
                <w:color w:val="1F6B3A"/>
                <w:sz w:val="18"/>
                <w:szCs w:val="18"/>
              </w:rPr>
              <w:t xml:space="preserve">Ajouter une traçabilité EF-GRP-02 → Phase 3 (governance module). Documenter que ProposalDiff répond à cette exigence.</w:t>
            </w:r>
          </w:p>
        </w:tc>
      </w:tr>
    </w:tbl>
    <w:p>
      <w:pPr>
        <w:spacing w:after="60" w:before="60"/>
      </w:pPr>
      <w:r>
        <w:rPr>
          <w:rFonts w:ascii="Arial" w:cs="Arial" w:eastAsia="Arial" w:hAnsi="Arial"/>
        </w:rPr>
        <w:t xml:space="preserve"/>
      </w:r>
    </w:p>
    <w:p>
      <w:r>
        <w:br w:type="page"/>
      </w:r>
    </w:p>
    <w:p>
      <w:pPr>
        <w:pStyle w:val="Heading1"/>
        <w:spacing w:after="180" w:before="360"/>
      </w:pPr>
      <w:r>
        <w:rPr>
          <w:rFonts w:ascii="Arial" w:cs="Arial" w:eastAsia="Arial" w:hAnsi="Arial"/>
          <w:b/>
          <w:bCs/>
          <w:color w:val="1A3A5C"/>
          <w:sz w:val="32"/>
          <w:szCs w:val="32"/>
        </w:rPr>
        <w:t xml:space="preserve">6. Feuille de Route Mise à Jour</w:t>
      </w:r>
    </w:p>
    <w:p>
      <w:pPr>
        <w:pStyle w:val="Heading2"/>
        <w:spacing w:after="120" w:before="280"/>
      </w:pPr>
      <w:r>
        <w:rPr>
          <w:rFonts w:ascii="Arial" w:cs="Arial" w:eastAsia="Arial" w:hAnsi="Arial"/>
          <w:b/>
          <w:bCs/>
          <w:color w:val="2E75B6"/>
          <w:sz w:val="26"/>
          <w:szCs w:val="26"/>
        </w:rPr>
        <w:t xml:space="preserve">6.1 Vue d'ensemble révisée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2500"/>
        <w:gridCol w:w="1826"/>
        <w:gridCol w:w="1500"/>
      </w:tblGrid>
      <w:tr>
        <w:trPr>
          <w:tblHeader/>
        </w:trPr>
        <w:tc>
          <w:tcPr>
            <w:tcW w:type="dxa" w:w="10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Phase</w:t>
            </w:r>
          </w:p>
        </w:tc>
        <w:tc>
          <w:tcPr>
            <w:tcW w:type="dxa" w:w="22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Nom</w:t>
            </w:r>
          </w:p>
        </w:tc>
        <w:tc>
          <w:tcPr>
            <w:tcW w:type="dxa" w:w="25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État</w:t>
            </w:r>
          </w:p>
        </w:tc>
        <w:tc>
          <w:tcPr>
            <w:tcW w:type="dxa" w:w="1826"/>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Durée</w:t>
            </w:r>
          </w:p>
        </w:tc>
        <w:tc>
          <w:tcPr>
            <w:tcW w:type="dxa" w:w="15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Statut</w:t>
            </w:r>
          </w:p>
        </w:tc>
      </w:tr>
      <w:tr>
        <w:tc>
          <w:tcPr>
            <w:tcW w:type="dxa" w:w="1000"/>
            <w:tcBorders>
              <w:top w:val="single" w:color="CCCCCC" w:sz="4"/>
              <w:left w:val="single" w:color="CCCCCC" w:sz="4"/>
              <w:bottom w:val="single" w:color="CCCCCC" w:sz="4"/>
              <w:right w:val="single" w:color="CCCCCC" w:sz="4"/>
            </w:tcBorders>
            <w:shd w:fill="E8F5ED" w:val="clear"/>
            <w:tcMar>
              <w:top w:type="dxa" w:w="60"/>
              <w:left w:type="dxa" w:w="120"/>
              <w:bottom w:type="dxa" w:w="60"/>
              <w:right w:type="dxa" w:w="120"/>
            </w:tcMar>
          </w:tcPr>
          <w:p>
            <w:r>
              <w:rPr>
                <w:rFonts w:ascii="Arial" w:cs="Arial" w:eastAsia="Arial" w:hAnsi="Arial"/>
                <w:b/>
                <w:bCs/>
                <w:color w:val="000000"/>
                <w:sz w:val="20"/>
                <w:szCs w:val="20"/>
              </w:rPr>
              <w:t xml:space="preserve">Phase 1</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MVP Socle</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A5A5A"/>
                <w:sz w:val="18"/>
                <w:szCs w:val="18"/>
              </w:rPr>
              <w:t xml:space="preserve">Validée en recette locale</w:t>
            </w:r>
          </w:p>
        </w:tc>
        <w:tc>
          <w:tcPr>
            <w:tcW w:type="dxa" w:w="18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8 sem. (réalisé)</w:t>
            </w:r>
          </w:p>
        </w:tc>
        <w:tc>
          <w:tcPr>
            <w:tcW w:type="dxa" w:w="1500"/>
            <w:tcBorders>
              <w:top w:val="single" w:color="CCCCCC" w:sz="4"/>
              <w:left w:val="single" w:color="CCCCCC" w:sz="4"/>
              <w:bottom w:val="single" w:color="CCCCCC" w:sz="4"/>
              <w:right w:val="single" w:color="CCCCCC" w:sz="4"/>
            </w:tcBorders>
            <w:shd w:fill="E8F5ED" w:val="clear"/>
            <w:tcMar>
              <w:top w:type="dxa" w:w="60"/>
              <w:left w:type="dxa" w:w="120"/>
              <w:bottom w:type="dxa" w:w="60"/>
              <w:right w:type="dxa" w:w="120"/>
            </w:tcMar>
          </w:tcPr>
          <w:p>
            <w:r>
              <w:rPr>
                <w:rFonts w:ascii="Arial" w:cs="Arial" w:eastAsia="Arial" w:hAnsi="Arial"/>
                <w:b/>
                <w:bCs/>
                <w:color w:val="000000"/>
                <w:sz w:val="20"/>
                <w:szCs w:val="20"/>
              </w:rPr>
              <w:t xml:space="preserve">✓ Prête</w:t>
            </w:r>
          </w:p>
        </w:tc>
      </w:tr>
      <w:tr>
        <w:tc>
          <w:tcPr>
            <w:tcW w:type="dxa" w:w="1000"/>
            <w:tcBorders>
              <w:top w:val="single" w:color="CCCCCC" w:sz="4"/>
              <w:left w:val="single" w:color="CCCCCC" w:sz="4"/>
              <w:bottom w:val="single" w:color="CCCCCC" w:sz="4"/>
              <w:right w:val="single" w:color="CCCCCC" w:sz="4"/>
            </w:tcBorders>
            <w:shd w:fill="FFF8E6" w:val="clear"/>
            <w:tcMar>
              <w:top w:type="dxa" w:w="60"/>
              <w:left w:type="dxa" w:w="120"/>
              <w:bottom w:type="dxa" w:w="60"/>
              <w:right w:type="dxa" w:w="120"/>
            </w:tcMar>
          </w:tcPr>
          <w:p>
            <w:r>
              <w:rPr>
                <w:rFonts w:ascii="Arial" w:cs="Arial" w:eastAsia="Arial" w:hAnsi="Arial"/>
                <w:b/>
                <w:bCs/>
                <w:color w:val="000000"/>
                <w:sz w:val="20"/>
                <w:szCs w:val="20"/>
              </w:rPr>
              <w:t xml:space="preserve">Phase 2</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Paiement réel</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A5A5A"/>
                <w:sz w:val="18"/>
                <w:szCs w:val="18"/>
              </w:rPr>
              <w:t xml:space="preserve">Simulateur validé — agrégateur à intégrer</w:t>
            </w:r>
          </w:p>
        </w:tc>
        <w:tc>
          <w:tcPr>
            <w:tcW w:type="dxa" w:w="18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6 sem. (réalisé)</w:t>
            </w:r>
          </w:p>
        </w:tc>
        <w:tc>
          <w:tcPr>
            <w:tcW w:type="dxa" w:w="1500"/>
            <w:tcBorders>
              <w:top w:val="single" w:color="CCCCCC" w:sz="4"/>
              <w:left w:val="single" w:color="CCCCCC" w:sz="4"/>
              <w:bottom w:val="single" w:color="CCCCCC" w:sz="4"/>
              <w:right w:val="single" w:color="CCCCCC" w:sz="4"/>
            </w:tcBorders>
            <w:shd w:fill="FFF8E6" w:val="clear"/>
            <w:tcMar>
              <w:top w:type="dxa" w:w="60"/>
              <w:left w:type="dxa" w:w="120"/>
              <w:bottom w:type="dxa" w:w="60"/>
              <w:right w:type="dxa" w:w="120"/>
            </w:tcMar>
          </w:tcPr>
          <w:p>
            <w:r>
              <w:rPr>
                <w:rFonts w:ascii="Arial" w:cs="Arial" w:eastAsia="Arial" w:hAnsi="Arial"/>
                <w:b/>
                <w:bCs/>
                <w:color w:val="000000"/>
                <w:sz w:val="20"/>
                <w:szCs w:val="20"/>
              </w:rPr>
              <w:t xml:space="preserve">⚠ Partielle</w:t>
            </w:r>
          </w:p>
        </w:tc>
      </w:tr>
      <w:tr>
        <w:tc>
          <w:tcPr>
            <w:tcW w:type="dxa" w:w="1000"/>
            <w:tcBorders>
              <w:top w:val="single" w:color="CCCCCC" w:sz="4"/>
              <w:left w:val="single" w:color="CCCCCC" w:sz="4"/>
              <w:bottom w:val="single" w:color="CCCCCC" w:sz="4"/>
              <w:right w:val="single" w:color="CCCCCC" w:sz="4"/>
            </w:tcBorders>
            <w:shd w:fill="EAF3FB" w:val="clear"/>
            <w:tcMar>
              <w:top w:type="dxa" w:w="60"/>
              <w:left w:type="dxa" w:w="120"/>
              <w:bottom w:type="dxa" w:w="60"/>
              <w:right w:type="dxa" w:w="120"/>
            </w:tcMar>
          </w:tcPr>
          <w:p>
            <w:r>
              <w:rPr>
                <w:rFonts w:ascii="Arial" w:cs="Arial" w:eastAsia="Arial" w:hAnsi="Arial"/>
                <w:b/>
                <w:bCs/>
                <w:color w:val="000000"/>
                <w:sz w:val="20"/>
                <w:szCs w:val="20"/>
              </w:rPr>
              <w:t xml:space="preserve">Phase 3</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Gouvernance</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A5A5A"/>
                <w:sz w:val="18"/>
                <w:szCs w:val="18"/>
              </w:rPr>
              <w:t xml:space="preserve">Module Go complet — PostgreSQL manquant</w:t>
            </w:r>
          </w:p>
        </w:tc>
        <w:tc>
          <w:tcPr>
            <w:tcW w:type="dxa" w:w="18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4 sem. (estimé)</w:t>
            </w:r>
          </w:p>
        </w:tc>
        <w:tc>
          <w:tcPr>
            <w:tcW w:type="dxa" w:w="1500"/>
            <w:tcBorders>
              <w:top w:val="single" w:color="CCCCCC" w:sz="4"/>
              <w:left w:val="single" w:color="CCCCCC" w:sz="4"/>
              <w:bottom w:val="single" w:color="CCCCCC" w:sz="4"/>
              <w:right w:val="single" w:color="CCCCCC" w:sz="4"/>
            </w:tcBorders>
            <w:shd w:fill="EAF3FB" w:val="clear"/>
            <w:tcMar>
              <w:top w:type="dxa" w:w="60"/>
              <w:left w:type="dxa" w:w="120"/>
              <w:bottom w:type="dxa" w:w="60"/>
              <w:right w:type="dxa" w:w="120"/>
            </w:tcMar>
          </w:tcPr>
          <w:p>
            <w:r>
              <w:rPr>
                <w:rFonts w:ascii="Arial" w:cs="Arial" w:eastAsia="Arial" w:hAnsi="Arial"/>
                <w:b/>
                <w:bCs/>
                <w:color w:val="000000"/>
                <w:sz w:val="20"/>
                <w:szCs w:val="20"/>
              </w:rPr>
              <w:t xml:space="preserve">⚡ En cours</w:t>
            </w:r>
          </w:p>
        </w:tc>
      </w:tr>
      <w:tr>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Phase 4</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Résilience</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A5A5A"/>
                <w:sz w:val="18"/>
                <w:szCs w:val="18"/>
              </w:rPr>
              <w:t xml:space="preserve">Non commencée — dépend de Phase 3</w:t>
            </w:r>
          </w:p>
        </w:tc>
        <w:tc>
          <w:tcPr>
            <w:tcW w:type="dxa" w:w="18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4 sem. (estimé)</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 Planifiée</w:t>
            </w:r>
          </w:p>
        </w:tc>
      </w:tr>
      <w:tr>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Phase 5</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Industrialisation</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A5A5A"/>
                <w:sz w:val="18"/>
                <w:szCs w:val="18"/>
              </w:rPr>
              <w:t xml:space="preserve">Non commencée</w:t>
            </w:r>
          </w:p>
        </w:tc>
        <w:tc>
          <w:tcPr>
            <w:tcW w:type="dxa" w:w="18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Variable</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 Planifiée</w:t>
            </w:r>
          </w:p>
        </w:tc>
      </w:tr>
    </w:tbl>
    <w:p>
      <w:pPr>
        <w:spacing w:after="60" w:before="60"/>
      </w:pPr>
      <w:r>
        <w:rPr>
          <w:rFonts w:ascii="Arial" w:cs="Arial" w:eastAsia="Arial" w:hAnsi="Arial"/>
        </w:rPr>
        <w:t xml:space="preserve"/>
      </w:r>
    </w:p>
    <w:p>
      <w:pPr>
        <w:pStyle w:val="Heading2"/>
        <w:spacing w:after="120" w:before="280"/>
      </w:pPr>
      <w:r>
        <w:rPr>
          <w:rFonts w:ascii="Arial" w:cs="Arial" w:eastAsia="Arial" w:hAnsi="Arial"/>
          <w:b/>
          <w:bCs/>
          <w:color w:val="2E75B6"/>
          <w:sz w:val="26"/>
          <w:szCs w:val="26"/>
        </w:rPr>
        <w:t xml:space="preserve">6.2 Priorités immédiates</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026"/>
            <w:tcBorders>
              <w:top w:val="none" w:color="FFFFFF" w:sz="0"/>
              <w:left w:val="single" w:color="2E75B6" w:sz="16"/>
              <w:bottom w:val="none" w:color="FFFFFF" w:sz="0"/>
              <w:right w:val="none" w:color="FFFFFF" w:sz="0"/>
            </w:tcBorders>
            <w:shd w:fill="EAF3FB" w:val="clear"/>
            <w:tcMar>
              <w:top w:type="dxa" w:w="100"/>
              <w:left w:type="dxa" w:w="200"/>
              <w:bottom w:type="dxa" w:w="100"/>
              <w:right w:type="dxa" w:w="200"/>
            </w:tcMar>
          </w:tcPr>
          <w:p>
            <w:r>
              <w:rPr>
                <w:rFonts w:ascii="Arial" w:cs="Arial" w:eastAsia="Arial" w:hAnsi="Arial"/>
                <w:color w:val="1A3A5C"/>
                <w:sz w:val="20"/>
                <w:szCs w:val="20"/>
              </w:rPr>
              <w:t xml:space="preserve">Actions recommandées par ordre de priorité pour progression optimale du projet.</w:t>
            </w:r>
          </w:p>
        </w:tc>
      </w:tr>
    </w:tbl>
    <w:p>
      <w:pPr>
        <w:spacing w:after="60" w:before="6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4426"/>
      </w:tblGrid>
      <w:tr>
        <w:trPr>
          <w:tblHeader/>
        </w:trPr>
        <w:tc>
          <w:tcPr>
            <w:tcW w:type="dxa" w:w="6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Prio.</w:t>
            </w:r>
          </w:p>
        </w:tc>
        <w:tc>
          <w:tcPr>
            <w:tcW w:type="dxa" w:w="40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Action</w:t>
            </w:r>
          </w:p>
        </w:tc>
        <w:tc>
          <w:tcPr>
            <w:tcW w:type="dxa" w:w="4426"/>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Impact</w:t>
            </w:r>
          </w:p>
        </w:tc>
      </w:tr>
      <w:tr>
        <w:tc>
          <w:tcPr>
            <w:tcW w:type="dxa" w:w="600"/>
            <w:tcBorders>
              <w:top w:val="single" w:color="CCCCCC" w:sz="4"/>
              <w:left w:val="single" w:color="CCCCCC" w:sz="4"/>
              <w:bottom w:val="single" w:color="CCCCCC" w:sz="4"/>
              <w:right w:val="single" w:color="CCCCCC" w:sz="4"/>
            </w:tcBorders>
            <w:shd w:fill="FBE9E9" w:val="clear"/>
            <w:tcMar>
              <w:top w:type="dxa" w:w="60"/>
              <w:left w:type="dxa" w:w="120"/>
              <w:bottom w:type="dxa" w:w="60"/>
              <w:right w:type="dxa" w:w="120"/>
            </w:tcMar>
          </w:tcPr>
          <w:p>
            <w:r>
              <w:rPr>
                <w:rFonts w:ascii="Arial" w:cs="Arial" w:eastAsia="Arial" w:hAnsi="Arial"/>
                <w:b/>
                <w:bCs/>
                <w:color w:val="1F6B3A"/>
                <w:sz w:val="20"/>
                <w:szCs w:val="20"/>
              </w:rPr>
              <w:t xml:space="preserve">P1</w:t>
            </w:r>
          </w:p>
        </w:tc>
        <w:tc>
          <w:tcPr>
            <w:tcW w:type="dxa" w:w="4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Activer les notifications WhatsApp/SMS effectives (gateway → NATS → notification service)</w:t>
            </w:r>
          </w:p>
        </w:tc>
        <w:tc>
          <w:tcPr>
            <w:tcW w:type="dxa" w:w="44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A5A5A"/>
                <w:sz w:val="18"/>
                <w:szCs w:val="18"/>
              </w:rPr>
              <w:t xml:space="preserve">Complète le critère de sortie Phase 1 pour déploiement production</w:t>
            </w:r>
          </w:p>
        </w:tc>
      </w:tr>
      <w:tr>
        <w:tc>
          <w:tcPr>
            <w:tcW w:type="dxa" w:w="600"/>
            <w:tcBorders>
              <w:top w:val="single" w:color="CCCCCC" w:sz="4"/>
              <w:left w:val="single" w:color="CCCCCC" w:sz="4"/>
              <w:bottom w:val="single" w:color="CCCCCC" w:sz="4"/>
              <w:right w:val="single" w:color="CCCCCC" w:sz="4"/>
            </w:tcBorders>
            <w:shd w:fill="FBE9E9" w:val="clear"/>
            <w:tcMar>
              <w:top w:type="dxa" w:w="60"/>
              <w:left w:type="dxa" w:w="120"/>
              <w:bottom w:type="dxa" w:w="60"/>
              <w:right w:type="dxa" w:w="120"/>
            </w:tcMar>
          </w:tcPr>
          <w:p>
            <w:r>
              <w:rPr>
                <w:rFonts w:ascii="Arial" w:cs="Arial" w:eastAsia="Arial" w:hAnsi="Arial"/>
                <w:b/>
                <w:bCs/>
                <w:color w:val="1F6B3A"/>
                <w:sz w:val="20"/>
                <w:szCs w:val="20"/>
              </w:rPr>
              <w:t xml:space="preserve">P2</w:t>
            </w:r>
          </w:p>
        </w:tc>
        <w:tc>
          <w:tcPr>
            <w:tcW w:type="dxa" w:w="4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Intégrer un adaptateur agrégateur Mobile Money réel (remplacer le simulateur)</w:t>
            </w:r>
          </w:p>
        </w:tc>
        <w:tc>
          <w:tcPr>
            <w:tcW w:type="dxa" w:w="44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A5A5A"/>
                <w:sz w:val="18"/>
                <w:szCs w:val="18"/>
              </w:rPr>
              <w:t xml:space="preserve">Débloque le critère de sortie Phase 2 — premier versement réel</w:t>
            </w:r>
          </w:p>
        </w:tc>
      </w:tr>
      <w:tr>
        <w:tc>
          <w:tcPr>
            <w:tcW w:type="dxa" w:w="600"/>
            <w:tcBorders>
              <w:top w:val="single" w:color="CCCCCC" w:sz="4"/>
              <w:left w:val="single" w:color="CCCCCC" w:sz="4"/>
              <w:bottom w:val="single" w:color="CCCCCC" w:sz="4"/>
              <w:right w:val="single" w:color="CCCCCC" w:sz="4"/>
            </w:tcBorders>
            <w:shd w:fill="FFF8E6" w:val="clear"/>
            <w:tcMar>
              <w:top w:type="dxa" w:w="60"/>
              <w:left w:type="dxa" w:w="120"/>
              <w:bottom w:type="dxa" w:w="60"/>
              <w:right w:type="dxa" w:w="120"/>
            </w:tcMar>
          </w:tcPr>
          <w:p>
            <w:r>
              <w:rPr>
                <w:rFonts w:ascii="Arial" w:cs="Arial" w:eastAsia="Arial" w:hAnsi="Arial"/>
                <w:b/>
                <w:bCs/>
                <w:color w:val="8B5E00"/>
                <w:sz w:val="20"/>
                <w:szCs w:val="20"/>
              </w:rPr>
              <w:t xml:space="preserve">P3</w:t>
            </w:r>
          </w:p>
        </w:tc>
        <w:tc>
          <w:tcPr>
            <w:tcW w:type="dxa" w:w="4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Migration 008 : tables proposals + votes + implémentation PostgresProposalStore</w:t>
            </w:r>
          </w:p>
        </w:tc>
        <w:tc>
          <w:tcPr>
            <w:tcW w:type="dxa" w:w="44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A5A5A"/>
                <w:sz w:val="18"/>
                <w:szCs w:val="18"/>
              </w:rPr>
              <w:t xml:space="preserve">Complète la persistance Phase 3</w:t>
            </w:r>
          </w:p>
        </w:tc>
      </w:tr>
      <w:tr>
        <w:tc>
          <w:tcPr>
            <w:tcW w:type="dxa" w:w="600"/>
            <w:tcBorders>
              <w:top w:val="single" w:color="CCCCCC" w:sz="4"/>
              <w:left w:val="single" w:color="CCCCCC" w:sz="4"/>
              <w:bottom w:val="single" w:color="CCCCCC" w:sz="4"/>
              <w:right w:val="single" w:color="CCCCCC" w:sz="4"/>
            </w:tcBorders>
            <w:shd w:fill="FFF8E6" w:val="clear"/>
            <w:tcMar>
              <w:top w:type="dxa" w:w="60"/>
              <w:left w:type="dxa" w:w="120"/>
              <w:bottom w:type="dxa" w:w="60"/>
              <w:right w:type="dxa" w:w="120"/>
            </w:tcMar>
          </w:tcPr>
          <w:p>
            <w:r>
              <w:rPr>
                <w:rFonts w:ascii="Arial" w:cs="Arial" w:eastAsia="Arial" w:hAnsi="Arial"/>
                <w:b/>
                <w:bCs/>
                <w:color w:val="8B5E00"/>
                <w:sz w:val="20"/>
                <w:szCs w:val="20"/>
              </w:rPr>
              <w:t xml:space="preserve">P4</w:t>
            </w:r>
          </w:p>
        </w:tc>
        <w:tc>
          <w:tcPr>
            <w:tcW w:type="dxa" w:w="4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Connecter le commit de gouvernance au cycle suivant (active_config_id)</w:t>
            </w:r>
          </w:p>
        </w:tc>
        <w:tc>
          <w:tcPr>
            <w:tcW w:type="dxa" w:w="44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A5A5A"/>
                <w:sz w:val="18"/>
                <w:szCs w:val="18"/>
              </w:rPr>
              <w:t xml:space="preserve">Clôture le critère de sortie Phase 3</w:t>
            </w:r>
          </w:p>
        </w:tc>
      </w:tr>
      <w:tr>
        <w:tc>
          <w:tcPr>
            <w:tcW w:type="dxa" w:w="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bCs/>
                <w:color w:val="5A5A5A"/>
                <w:sz w:val="20"/>
                <w:szCs w:val="20"/>
              </w:rPr>
              <w:t xml:space="preserve">P5</w:t>
            </w:r>
          </w:p>
        </w:tc>
        <w:tc>
          <w:tcPr>
            <w:tcW w:type="dxa" w:w="4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Mettre à jour les 6 écarts CT et 5 écarts CDC identifiés</w:t>
            </w:r>
          </w:p>
        </w:tc>
        <w:tc>
          <w:tcPr>
            <w:tcW w:type="dxa" w:w="44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A5A5A"/>
                <w:sz w:val="18"/>
                <w:szCs w:val="18"/>
              </w:rPr>
              <w:t xml:space="preserve">Aligne la documentation sur l'implémentation réelle</w:t>
            </w:r>
          </w:p>
        </w:tc>
      </w:tr>
    </w:tbl>
    <w:p>
      <w:pPr>
        <w:spacing w:after="60" w:before="60"/>
      </w:pPr>
      <w:r>
        <w:rPr>
          <w:rFonts w:ascii="Arial" w:cs="Arial" w:eastAsia="Arial" w:hAnsi="Arial"/>
        </w:rPr>
        <w:t xml:space="preserve"/>
      </w:r>
    </w:p>
    <w:p>
      <w:r>
        <w:br w:type="page"/>
      </w:r>
    </w:p>
    <w:p>
      <w:pPr>
        <w:pStyle w:val="Heading1"/>
        <w:spacing w:after="180" w:before="360"/>
      </w:pPr>
      <w:r>
        <w:rPr>
          <w:rFonts w:ascii="Arial" w:cs="Arial" w:eastAsia="Arial" w:hAnsi="Arial"/>
          <w:b/>
          <w:bCs/>
          <w:color w:val="1A3A5C"/>
          <w:sz w:val="32"/>
          <w:szCs w:val="32"/>
        </w:rPr>
        <w:t xml:space="preserve">7. Validation des Garanties de Sécurité</w:t>
      </w:r>
    </w:p>
    <w:p>
      <w:pPr>
        <w:spacing w:after="100" w:before="60"/>
      </w:pPr>
      <w:r>
        <w:rPr>
          <w:rFonts w:ascii="Arial" w:cs="Arial" w:eastAsia="Arial" w:hAnsi="Arial"/>
          <w:sz w:val="22"/>
          <w:szCs w:val="22"/>
        </w:rPr>
        <w:t xml:space="preserve">Le CDC et le CT définissent un ensemble de garanties de sécurité non-négociables. Chacune a été vérifiée dans le code source.</w:t>
      </w:r>
    </w:p>
    <w:p>
      <w:pPr>
        <w:spacing w:after="60" w:before="6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26"/>
      </w:tblGrid>
      <w:tr>
        <w:trPr>
          <w:tblHeader/>
        </w:trPr>
        <w:tc>
          <w:tcPr>
            <w:tcW w:type="dxa" w:w="28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Garantie</w:t>
            </w:r>
          </w:p>
        </w:tc>
        <w:tc>
          <w:tcPr>
            <w:tcW w:type="dxa" w:w="20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Mécanisme</w:t>
            </w:r>
          </w:p>
        </w:tc>
        <w:tc>
          <w:tcPr>
            <w:tcW w:type="dxa" w:w="4226"/>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Vérification dans le code</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A3A5C"/>
                <w:sz w:val="19"/>
                <w:szCs w:val="19"/>
              </w:rPr>
              <w:t xml:space="preserve">Zéro double paiement</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333333"/>
                <w:sz w:val="18"/>
                <w:szCs w:val="18"/>
              </w:rPr>
              <w:t xml:space="preserve">idempotency_key UNIQUE</w:t>
            </w:r>
          </w:p>
        </w:tc>
        <w:tc>
          <w:tcPr>
            <w:tcW w:type="dxa" w:w="4226"/>
            <w:tcBorders>
              <w:top w:val="single" w:color="CCCCCC" w:sz="4"/>
              <w:left w:val="single" w:color="CCCCCC" w:sz="4"/>
              <w:bottom w:val="single" w:color="CCCCCC" w:sz="4"/>
              <w:right w:val="single" w:color="CCCCCC" w:sz="4"/>
            </w:tcBorders>
            <w:shd w:fill="E8F5ED" w:val="clear"/>
            <w:tcMar>
              <w:top w:type="dxa" w:w="60"/>
              <w:left w:type="dxa" w:w="120"/>
              <w:bottom w:type="dxa" w:w="60"/>
              <w:right w:type="dxa" w:w="120"/>
            </w:tcMar>
          </w:tcPr>
          <w:p>
            <w:r>
              <w:rPr>
                <w:rFonts w:ascii="Arial" w:cs="Arial" w:eastAsia="Arial" w:hAnsi="Arial"/>
                <w:b w:val="false"/>
                <w:bCs w:val="false"/>
                <w:color w:val="1F6B3A"/>
                <w:sz w:val="18"/>
                <w:szCs w:val="18"/>
              </w:rPr>
              <w:t xml:space="preserve">✅ outbox_events.idempotency_key UNIQUE (migrations/005). AlreadyConfirmed check dans payout_service.rs. Test de replay documenté.</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A3A5C"/>
                <w:sz w:val="19"/>
                <w:szCs w:val="19"/>
              </w:rPr>
              <w:t xml:space="preserve">Interface ne peut pas déclencher paiement</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333333"/>
                <w:sz w:val="18"/>
                <w:szCs w:val="18"/>
              </w:rPr>
              <w:t xml:space="preserve">Séparation architecturale</w:t>
            </w:r>
          </w:p>
        </w:tc>
        <w:tc>
          <w:tcPr>
            <w:tcW w:type="dxa" w:w="4226"/>
            <w:tcBorders>
              <w:top w:val="single" w:color="CCCCCC" w:sz="4"/>
              <w:left w:val="single" w:color="CCCCCC" w:sz="4"/>
              <w:bottom w:val="single" w:color="CCCCCC" w:sz="4"/>
              <w:right w:val="single" w:color="CCCCCC" w:sz="4"/>
            </w:tcBorders>
            <w:shd w:fill="E8F5ED" w:val="clear"/>
            <w:tcMar>
              <w:top w:type="dxa" w:w="60"/>
              <w:left w:type="dxa" w:w="120"/>
              <w:bottom w:type="dxa" w:w="60"/>
              <w:right w:type="dxa" w:w="120"/>
            </w:tcMar>
          </w:tcPr>
          <w:p>
            <w:r>
              <w:rPr>
                <w:rFonts w:ascii="Arial" w:cs="Arial" w:eastAsia="Arial" w:hAnsi="Arial"/>
                <w:b w:val="false"/>
                <w:bCs w:val="false"/>
                <w:color w:val="1F6B3A"/>
                <w:sz w:val="18"/>
                <w:szCs w:val="18"/>
              </w:rPr>
              <w:t xml:space="preserve">✅ gateway/whatsapp/handler.go — UserIntent uniquement, 0 référence à PayoutCommand. Règle de sécurité commentée dans le code.</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A3A5C"/>
                <w:sz w:val="19"/>
                <w:szCs w:val="19"/>
              </w:rPr>
              <w:t xml:space="preserve">Ledger inaltérable</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333333"/>
                <w:sz w:val="18"/>
                <w:szCs w:val="18"/>
              </w:rPr>
              <w:t xml:space="preserve">Trigger PostgreSQL</w:t>
            </w:r>
          </w:p>
        </w:tc>
        <w:tc>
          <w:tcPr>
            <w:tcW w:type="dxa" w:w="4226"/>
            <w:tcBorders>
              <w:top w:val="single" w:color="CCCCCC" w:sz="4"/>
              <w:left w:val="single" w:color="CCCCCC" w:sz="4"/>
              <w:bottom w:val="single" w:color="CCCCCC" w:sz="4"/>
              <w:right w:val="single" w:color="CCCCCC" w:sz="4"/>
            </w:tcBorders>
            <w:shd w:fill="E8F5ED" w:val="clear"/>
            <w:tcMar>
              <w:top w:type="dxa" w:w="60"/>
              <w:left w:type="dxa" w:w="120"/>
              <w:bottom w:type="dxa" w:w="60"/>
              <w:right w:type="dxa" w:w="120"/>
            </w:tcMar>
          </w:tcPr>
          <w:p>
            <w:r>
              <w:rPr>
                <w:rFonts w:ascii="Arial" w:cs="Arial" w:eastAsia="Arial" w:hAnsi="Arial"/>
                <w:b w:val="false"/>
                <w:bCs w:val="false"/>
                <w:color w:val="1F6B3A"/>
                <w:sz w:val="18"/>
                <w:szCs w:val="18"/>
              </w:rPr>
              <w:t xml:space="preserve">✅ Migration 004 — trigger anti-mutation. verify_chain() en Rust. Détection de falsification testée.</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A3A5C"/>
                <w:sz w:val="19"/>
                <w:szCs w:val="19"/>
              </w:rPr>
              <w:t xml:space="preserve">Cycle immuable une fois commis</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333333"/>
                <w:sz w:val="18"/>
                <w:szCs w:val="18"/>
              </w:rPr>
              <w:t xml:space="preserve">Trigger enforce_cycle_immutability</w:t>
            </w:r>
          </w:p>
        </w:tc>
        <w:tc>
          <w:tcPr>
            <w:tcW w:type="dxa" w:w="4226"/>
            <w:tcBorders>
              <w:top w:val="single" w:color="CCCCCC" w:sz="4"/>
              <w:left w:val="single" w:color="CCCCCC" w:sz="4"/>
              <w:bottom w:val="single" w:color="CCCCCC" w:sz="4"/>
              <w:right w:val="single" w:color="CCCCCC" w:sz="4"/>
            </w:tcBorders>
            <w:shd w:fill="E8F5ED" w:val="clear"/>
            <w:tcMar>
              <w:top w:type="dxa" w:w="60"/>
              <w:left w:type="dxa" w:w="120"/>
              <w:bottom w:type="dxa" w:w="60"/>
              <w:right w:type="dxa" w:w="120"/>
            </w:tcMar>
          </w:tcPr>
          <w:p>
            <w:r>
              <w:rPr>
                <w:rFonts w:ascii="Arial" w:cs="Arial" w:eastAsia="Arial" w:hAnsi="Arial"/>
                <w:b w:val="false"/>
                <w:bCs w:val="false"/>
                <w:color w:val="1F6B3A"/>
                <w:sz w:val="18"/>
                <w:szCs w:val="18"/>
              </w:rPr>
              <w:t xml:space="preserve">✅ Migration 003 — prevent_committed_cycle_mutation(). ContributionService vérifie cycle_ctx.accepts_callbacks().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A3A5C"/>
                <w:sz w:val="19"/>
                <w:szCs w:val="19"/>
              </w:rPr>
              <w:t xml:space="preserve">Paiement inconnu → quarantaine</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333333"/>
                <w:sz w:val="18"/>
                <w:szCs w:val="18"/>
              </w:rPr>
              <w:t xml:space="preserve">payment_instruments.quarantine_state</w:t>
            </w:r>
          </w:p>
        </w:tc>
        <w:tc>
          <w:tcPr>
            <w:tcW w:type="dxa" w:w="4226"/>
            <w:tcBorders>
              <w:top w:val="single" w:color="CCCCCC" w:sz="4"/>
              <w:left w:val="single" w:color="CCCCCC" w:sz="4"/>
              <w:bottom w:val="single" w:color="CCCCCC" w:sz="4"/>
              <w:right w:val="single" w:color="CCCCCC" w:sz="4"/>
            </w:tcBorders>
            <w:shd w:fill="E8F5ED" w:val="clear"/>
            <w:tcMar>
              <w:top w:type="dxa" w:w="60"/>
              <w:left w:type="dxa" w:w="120"/>
              <w:bottom w:type="dxa" w:w="60"/>
              <w:right w:type="dxa" w:w="120"/>
            </w:tcMar>
          </w:tcPr>
          <w:p>
            <w:r>
              <w:rPr>
                <w:rFonts w:ascii="Arial" w:cs="Arial" w:eastAsia="Arial" w:hAnsi="Arial"/>
                <w:b w:val="false"/>
                <w:bCs w:val="false"/>
                <w:color w:val="1F6B3A"/>
                <w:sz w:val="18"/>
                <w:szCs w:val="18"/>
              </w:rPr>
              <w:t xml:space="preserve">✅ quarantine_contribution() dans contribution_service.rs. LedgerEventType::ContributionQuarantined inscrit. DomainEvent::ContributionQuarantined dans outbox.</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A3A5C"/>
                <w:sz w:val="19"/>
                <w:szCs w:val="19"/>
              </w:rPr>
              <w:t xml:space="preserve">Callback MM vérifié HMAC</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333333"/>
                <w:sz w:val="18"/>
                <w:szCs w:val="18"/>
              </w:rPr>
              <w:t xml:space="preserve">HMAC-SHA256 sur chaque callback</w:t>
            </w:r>
          </w:p>
        </w:tc>
        <w:tc>
          <w:tcPr>
            <w:tcW w:type="dxa" w:w="4226"/>
            <w:tcBorders>
              <w:top w:val="single" w:color="CCCCCC" w:sz="4"/>
              <w:left w:val="single" w:color="CCCCCC" w:sz="4"/>
              <w:bottom w:val="single" w:color="CCCCCC" w:sz="4"/>
              <w:right w:val="single" w:color="CCCCCC" w:sz="4"/>
            </w:tcBorders>
            <w:shd w:fill="E8F5ED" w:val="clear"/>
            <w:tcMar>
              <w:top w:type="dxa" w:w="60"/>
              <w:left w:type="dxa" w:w="120"/>
              <w:bottom w:type="dxa" w:w="60"/>
              <w:right w:type="dxa" w:w="120"/>
            </w:tcMar>
          </w:tcPr>
          <w:p>
            <w:r>
              <w:rPr>
                <w:rFonts w:ascii="Arial" w:cs="Arial" w:eastAsia="Arial" w:hAnsi="Arial"/>
                <w:b w:val="false"/>
                <w:bCs w:val="false"/>
                <w:color w:val="1F6B3A"/>
                <w:sz w:val="18"/>
                <w:szCs w:val="18"/>
              </w:rPr>
              <w:t xml:space="preserve">✅ api/handlers/ — validation HMAC avant tout traitement. Gateway WhatsApp — vérification signature Meta.</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A3A5C"/>
                <w:sz w:val="19"/>
                <w:szCs w:val="19"/>
              </w:rPr>
              <w:t xml:space="preserve">Contribution hors cycle committed bloquée</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333333"/>
                <w:sz w:val="18"/>
                <w:szCs w:val="18"/>
              </w:rPr>
              <w:t xml:space="preserve">Trigger PostgreSQL + Kernel</w:t>
            </w:r>
          </w:p>
        </w:tc>
        <w:tc>
          <w:tcPr>
            <w:tcW w:type="dxa" w:w="4226"/>
            <w:tcBorders>
              <w:top w:val="single" w:color="CCCCCC" w:sz="4"/>
              <w:left w:val="single" w:color="CCCCCC" w:sz="4"/>
              <w:bottom w:val="single" w:color="CCCCCC" w:sz="4"/>
              <w:right w:val="single" w:color="CCCCCC" w:sz="4"/>
            </w:tcBorders>
            <w:shd w:fill="E8F5ED" w:val="clear"/>
            <w:tcMar>
              <w:top w:type="dxa" w:w="60"/>
              <w:left w:type="dxa" w:w="120"/>
              <w:bottom w:type="dxa" w:w="60"/>
              <w:right w:type="dxa" w:w="120"/>
            </w:tcMar>
          </w:tcPr>
          <w:p>
            <w:r>
              <w:rPr>
                <w:rFonts w:ascii="Arial" w:cs="Arial" w:eastAsia="Arial" w:hAnsi="Arial"/>
                <w:b w:val="false"/>
                <w:bCs w:val="false"/>
                <w:color w:val="1F6B3A"/>
                <w:sz w:val="18"/>
                <w:szCs w:val="18"/>
              </w:rPr>
              <w:t xml:space="preserve">✅ Migration 007 — prevent_non_committed_cycle_contribution(). Double protection : kernel + base.</w:t>
            </w:r>
          </w:p>
        </w:tc>
      </w:tr>
    </w:tbl>
    <w:p>
      <w:pPr>
        <w:spacing w:after="60" w:before="60"/>
      </w:pPr>
      <w:r>
        <w:rPr>
          <w:rFonts w:ascii="Arial" w:cs="Arial" w:eastAsia="Arial" w:hAnsi="Arial"/>
        </w:rPr>
        <w:t xml:space="preserve"/>
      </w:r>
    </w:p>
    <w:p>
      <w:pPr>
        <w:pStyle w:val="Heading1"/>
        <w:spacing w:after="180" w:before="360"/>
      </w:pPr>
      <w:r>
        <w:rPr>
          <w:rFonts w:ascii="Arial" w:cs="Arial" w:eastAsia="Arial" w:hAnsi="Arial"/>
          <w:b/>
          <w:bCs/>
          <w:color w:val="1A3A5C"/>
          <w:sz w:val="32"/>
          <w:szCs w:val="32"/>
        </w:rPr>
        <w:t xml:space="preserve">8. Conclusion</w:t>
      </w:r>
    </w:p>
    <w:p>
      <w:pPr>
        <w:spacing w:after="100" w:before="60"/>
      </w:pPr>
      <w:r>
        <w:rPr>
          <w:rFonts w:ascii="Arial" w:cs="Arial" w:eastAsia="Arial" w:hAnsi="Arial"/>
          <w:sz w:val="22"/>
          <w:szCs w:val="22"/>
        </w:rPr>
        <w:t xml:space="preserve">L'analyse du dépôt masecureb révèle un projet en avance sur ce que décrivent les documents actuels. Le kernel financier Rust est solide, deterministe, et ses invariants de sécurité sont vérifiés à plusieurs niveaux (code, base de données, tests). L'architecture en triple isolation est respectée dans son principe fondamental.</w:t>
      </w:r>
    </w:p>
    <w:p>
      <w:pPr>
        <w:spacing w:after="60" w:before="60"/>
      </w:pPr>
      <w:r>
        <w:rPr>
          <w:rFonts w:ascii="Arial" w:cs="Arial" w:eastAsia="Arial" w:hAnsi="Arial"/>
        </w:rPr>
        <w:t xml:space="preserve"/>
      </w:r>
    </w:p>
    <w:p>
      <w:pPr>
        <w:spacing w:after="100" w:before="60"/>
      </w:pPr>
      <w:r>
        <w:rPr>
          <w:rFonts w:ascii="Arial" w:cs="Arial" w:eastAsia="Arial" w:hAnsi="Arial"/>
          <w:sz w:val="22"/>
          <w:szCs w:val="22"/>
        </w:rPr>
        <w:t xml:space="preserve">La Phase 1 est complète et prête pour un déploiement de validation une fois les notifications effectives activées. La Phase 2 dispose d'un contrat Mobile Money mature — elle attend uniquement un partenariat agrégateur pour franchir le cap de la production réelle. La Phase 3 a un noyau fonctionnel non négligeable qui réduit son effort de complétion à environ 2-3 semaines ciblées.</w:t>
      </w:r>
    </w:p>
    <w:p>
      <w:pPr>
        <w:spacing w:after="60" w:before="60"/>
      </w:pPr>
      <w:r>
        <w:rPr>
          <w:rFonts w:ascii="Arial" w:cs="Arial" w:eastAsia="Arial" w:hAnsi="Arial"/>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026"/>
            <w:tcBorders>
              <w:top w:val="none" w:color="FFFFFF" w:sz="0"/>
              <w:left w:val="single" w:color="1F6B3A" w:sz="16"/>
              <w:bottom w:val="none" w:color="FFFFFF" w:sz="0"/>
              <w:right w:val="none" w:color="FFFFFF" w:sz="0"/>
            </w:tcBorders>
            <w:shd w:fill="E8F5ED" w:val="clear"/>
            <w:tcMar>
              <w:top w:type="dxa" w:w="100"/>
              <w:left w:type="dxa" w:w="200"/>
              <w:bottom w:type="dxa" w:w="100"/>
              <w:right w:type="dxa" w:w="200"/>
            </w:tcMar>
          </w:tcPr>
          <w:p>
            <w:r>
              <w:rPr>
                <w:rFonts w:ascii="Arial" w:cs="Arial" w:eastAsia="Arial" w:hAnsi="Arial"/>
                <w:color w:val="1F6B3A"/>
                <w:sz w:val="20"/>
                <w:szCs w:val="20"/>
              </w:rPr>
              <w:t xml:space="preserve">Les 11 écarts documentaires identifiés (6 CT + 5 CDC) sont mineurs et ne reflètent aucune dérive architecturale — ils résultent naturellement de l'évolution du code au-delà des spécifications initiales. La mise à jour des documents de référence les alignera sur la réalité de l'implémentation.</w:t>
            </w:r>
          </w:p>
        </w:tc>
      </w:tr>
    </w:tbl>
    <w:p>
      <w:pPr>
        <w:spacing w:after="60" w:before="60"/>
      </w:pPr>
      <w:r>
        <w:rPr>
          <w:rFonts w:ascii="Arial" w:cs="Arial" w:eastAsia="Arial" w:hAnsi="Arial"/>
        </w:rPr>
        <w:t xml:space="preserve"/>
      </w:r>
    </w:p>
    <w:p>
      <w:pPr>
        <w:pBdr>
          <w:top w:val="single" w:color="2E75B6" w:sz="6"/>
        </w:pBdr>
        <w:spacing w:after="0" w:before="240"/>
      </w:pPr>
      <w:r>
        <w:rPr>
          <w:rFonts w:ascii="Arial" w:cs="Arial" w:eastAsia="Arial" w:hAnsi="Arial"/>
          <w:i/>
          <w:iCs/>
          <w:color w:val="5A5A5A"/>
          <w:sz w:val="18"/>
          <w:szCs w:val="18"/>
        </w:rPr>
        <w:t xml:space="preserve">Fin du document — MaSecure Analyse &amp; Réalignement v1.0.0 — Avril 2025</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tabs>
        <w:tab w:val="right" w:pos="9026"/>
      </w:tabs>
      <w:spacing w:after="0" w:before="120"/>
    </w:pPr>
    <w:r>
      <w:rPr>
        <w:rFonts w:ascii="Arial" w:cs="Arial" w:eastAsia="Arial" w:hAnsi="Arial"/>
        <w:color w:val="5A5A5A"/>
        <w:sz w:val="18"/>
        <w:szCs w:val="18"/>
      </w:rPr>
      <w:t xml:space="preserve">MaSecure — Infrastructure de Règlement Social Automatisé</w:t>
    </w:r>
    <w:r>
      <w:rPr>
        <w:rFonts w:ascii="Arial" w:cs="Arial" w:eastAsia="Arial" w:hAnsi="Arial"/>
        <w:sz w:val="18"/>
        <w:szCs w:val="18"/>
      </w:rPr>
      <w:t xml:space="preserve">	</w:t>
    </w:r>
    <w:r>
      <w:rPr>
        <w:rFonts w:ascii="Arial" w:cs="Arial" w:eastAsia="Arial" w:hAnsi="Arial"/>
        <w:color w:val="5A5A5A"/>
        <w:sz w:val="18"/>
        <w:szCs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tabs>
        <w:tab w:val="right" w:pos="9026"/>
      </w:tabs>
      <w:spacing w:after="120" w:before="0"/>
    </w:pPr>
    <w:r>
      <w:rPr>
        <w:rFonts w:ascii="Arial" w:cs="Arial" w:eastAsia="Arial" w:hAnsi="Arial"/>
        <w:color w:val="5A5A5A"/>
        <w:sz w:val="18"/>
        <w:szCs w:val="18"/>
      </w:rPr>
      <w:t xml:space="preserve">MaSecure — Analyse &amp; Réalignement Phases 1·2·3</w:t>
    </w:r>
    <w:r>
      <w:rPr>
        <w:rFonts w:ascii="Arial" w:cs="Arial" w:eastAsia="Arial" w:hAnsi="Arial"/>
        <w:sz w:val="18"/>
        <w:szCs w:val="18"/>
      </w:rPr>
      <w:t xml:space="preserve">	</w:t>
    </w:r>
    <w:r>
      <w:rPr>
        <w:rFonts w:ascii="Arial" w:cs="Arial" w:eastAsia="Arial" w:hAnsi="Arial"/>
        <w:i/>
        <w:iCs/>
        <w:color w:val="5A5A5A"/>
        <w:sz w:val="18"/>
        <w:szCs w:val="18"/>
      </w:rPr>
      <w:t xml:space="preserve">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3A5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5A5A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2026-04-05T08:57:59.205Z</dcterms:created>
  <dcterms:modified xsi:type="dcterms:W3CDTF">2026-04-05T08:57:59.206Z</dcterms:modified>
</cp:coreProperties>
</file>

<file path=docProps/custom.xml><?xml version="1.0" encoding="utf-8"?>
<Properties xmlns="http://schemas.openxmlformats.org/officeDocument/2006/custom-properties" xmlns:vt="http://schemas.openxmlformats.org/officeDocument/2006/docPropsVTypes"/>
</file>