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C"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200"/>
      </w:pPr>
      <w:r>
        <w:rPr>
          <w:b/>
          <w:sz w:val="30"/>
          <w:szCs w:val="30"/>
        </w:rPr>
        <w:t xml:space="preserve">Talk Without Substance? Institutional Pressures, the Rule of Law, and the Symbolic Decoupling of Corporate Green Innovation After the Paris Agreement</w:t>
      </w:r>
    </w:p>
    <w:p>
      <w:pPr>
        <w:spacing w:before="200" w:after="120"/>
      </w:pPr>
      <w:r>
        <w:rPr>
          <w:b/>
          <w:sz w:val="26"/>
          <w:szCs w:val="26"/>
        </w:rPr>
        <w:t xml:space="preserve">Abstract</w:t>
      </w:r>
    </w:p>
    <w:p>
      <w:pPr>
        <w:jc w:val="both"/>
        <w:spacing w:after="120" w:line="276" w:lineRule="auto"/>
      </w:pPr>
      <w:r>
        <w:rPr>
          <w:sz w:val="22"/>
          <w:szCs w:val="22"/>
        </w:rPr>
        <w:t xml:space="preserve">International climate agreements are widely presumed to push firms toward substantive environmental change, a presumption that hardens where domestic institutions are expected to hold firms to their word. Drawing on institutional theory, namely legitimacy-seeking, isomorphic pressure, and decoupling, this study interrogates that presumption, asking whether the Paris Agreement produced substantive corporate green innovation or chiefly symbolic environmental disclosure, and how the rule of law conditions the response. Using 174,056 firm-year observations across 51 countries and economies from 2007 to 2025, and a difference-in-differences design that interacts a common post-treaty indicator with time-invariant institutional characteristics while absorbing firm and year fixed effects, the analysis finds no robust average effect of the Paris Agreement on substantive green innovation once firm characteristics and ESG controls are absorbed. Rather than amplifying disclosure, the institutional setting separates the two channels: the post-Paris interaction with a strong rule of law registers on environmental disclosure yet is indistinguishable from zero for real innovation. The sharpest evidence comes from legal origin, where common-law firms raise environmental disclosure after Paris without any matching gain in substantive innovation, a pattern read here as institutional decoupling operating at the level of the international treaty. The study offers a large-scale, cross-country quasi-experimental test distinguishing environmental talk from environmental action, and cautions investors, boards, and policymakers against reading disclosure intensity as evidence of genuine innovation.</w:t>
      </w:r>
    </w:p>
    <w:p>
      <w:pPr>
        <w:spacing w:after="200"/>
      </w:pPr>
      <w:r>
        <w:rPr>
          <w:b/>
        </w:rPr>
        <w:t xml:space="preserve">Keywords: </w:t>
      </w:r>
      <w:r>
        <w:t xml:space="preserve">green innovation; institutional theory; decoupling; rule of law; Paris Agreement; symbolic compliance</w:t>
      </w:r>
    </w:p>
    <w:p>
      <w:pPr>
        <w:spacing w:before="200" w:after="120"/>
      </w:pPr>
      <w:r>
        <w:rPr>
          <w:b/>
          <w:sz w:val="26"/>
          <w:szCs w:val="26"/>
        </w:rPr>
        <w:t xml:space="preserve">1. Introduction</w:t>
      </w:r>
    </w:p>
    <w:p>
      <w:pPr>
        <w:jc w:val="both"/>
        <w:spacing w:after="120" w:line="276" w:lineRule="auto"/>
      </w:pPr>
      <w:r>
        <w:t xml:space="preserve">Corporate climate commitments have reached an unprecedented scale. By the close of 2025, 9,764 companies held emissions-reduction targets validated by the Science Based Targets initiative, a 40 percent single-year increase, while firms with net-zero commitments rose by 61 percent over the same period (Science Based Targets initiative, 2026). On its face, this surge suggests that the institutional architecture built around the 2015 Paris Agreement, a treaty designed to align corporate behavior with a well-below-two-degree pathway, is steadily converting climate ambition into corporate action. Recent firm-level evidence confirms that the treaty reshaped corporate climate behavior, from carbon-target setting to the financing of green projects (Acharya et al., 2025; Yadav et al., 2026). Markets, regulators, and rating agencies increasingly treat the volume and quality of environmental disclosure as a proxy for that action, and reallocate capital accordingly (Bolton &amp; Kacperczyk, 2021; Flammer, 2021; Krueger et al., 2020).</w:t>
      </w:r>
    </w:p>
    <w:p>
      <w:pPr>
        <w:jc w:val="both"/>
        <w:spacing w:after="120" w:line="276" w:lineRule="auto"/>
      </w:pPr>
      <w:r>
        <w:t xml:space="preserve">The same period has produced mounting evidence that climate talk and climate action have come apart. A framework applied to more than two thousand of the world's largest listed firms documents that greenwashing-risk indicators, among them missing interim targets, excluded value-chain emissions, and reliance on offsets, are pervasive and only weakly aligned with the ambition firms proclaim (Manya et al., 2026). Cross-country benchmarking shows that emerging and developing markets in particular pair high environmental disclosure with low environmental performance, the empirical fingerprint of greenwashing (Kercher et al., 2026). This juxtaposition of record disclosure and a widening credibility gap raises a question that disclosure counts alone cannot answer: when international climate pressure rises, do firms innovate, or do they merely report?</w:t>
      </w:r>
    </w:p>
    <w:p>
      <w:pPr>
        <w:jc w:val="both"/>
        <w:spacing w:after="120" w:line="276" w:lineRule="auto"/>
      </w:pPr>
      <w:r>
        <w:t xml:space="preserve">The urgency has only grown. After corporate net-zero commitments plateaued in 2024, target-setting accelerated again through 2025 and into 2026, with the share of the largest firms holding value-chain net-zero targets rising sharply even as several high-profile firms retreated from earlier pledges and political backlash against corporate climate action intensified (Science Based Targets initiative, 2026). Whether this renewed wave reflects deepening commitment or a more sophisticated form of signaling is precisely what disclosure-based metrics cannot adjudicate, and it is the analytical gap this study addresses.</w:t>
      </w:r>
    </w:p>
    <w:p>
      <w:pPr>
        <w:jc w:val="both"/>
        <w:spacing w:after="120" w:line="276" w:lineRule="auto"/>
      </w:pPr>
      <w:r>
        <w:t xml:space="preserve">Policy and much of the empirical literature expect international agreements, particularly when backed by strong domestic institutions, to drive real environmental upgrading. Stronger regulatory and normative pressure is associated with greater environmental innovation (Berrone et al., 2013; Porter &amp; van der Linde, 1995), and a stronger rule of law is commonly assumed to deter misleading claims by raising the odds of detection and sanction (La Porta et al., 2008; Marquis et al., 2016). Institutional theory offers a competing prediction. Where legitimacy can be secured more cheaply through visible conformity than through costly operational change, organizations decouple, adopting the formal structures expected of them while leaving core practice substantially unchanged (Meyer &amp; Rowan, 1977; Oliver, 1991). Within the environmental domain the gap is well documented: firms routinely misalign what they disclose from what they do (Cho et al., 2015; Eliwa et al., 2023), greenwashing carries measurable consequences (Yue &amp; Li, 2023; Zhao &amp; Lee, 2024), and the disclosure-performance gap persists across settings (Clarkson et al., 2008; Hummel &amp; Schlick, 2016). Yet few studies test these competing predictions at scale. Decoupling is most often examined qualitatively, within a single country, or for one governance mechanism (Cho et al., 2015; Qiu et al., 2026), and disclosure and innovation are frequently bundled into composite ESG scores that cannot separate symbolic from substantive responses (Berg et al., 2022; Hawn &amp; Ioannou, 2016).</w:t>
      </w:r>
    </w:p>
    <w:p>
      <w:pPr>
        <w:jc w:val="both"/>
        <w:spacing w:after="120" w:line="276" w:lineRule="auto"/>
      </w:pPr>
      <w:r>
        <w:t xml:space="preserve">This study therefore asks one question: does post-Paris institutional pressure translate into substantive corporate green innovation, or does it primarily produce symbolic environmental disclosure, and how does the rule of law shape that relationship? We answer it using 174,056 firm-year observations across 51 countries and economies over 2007 to 2025, separating two outcomes the literature usually conflates, namely substantive green innovation and symbolic environmental disclosure. A difference-in-differences design interacts a common post-Paris indicator with time-invariant institutional characteristics and absorbs firm and year fixed effects. The analysis finds no robust evidence of an average effect of the Paris Agreement on substantive green innovation once firm and ESG controls are absorbed. A strong rule of law does not strengthen the substantive response; its post-Paris interaction registers on environmental disclosure yet is null for real innovation, separating the two channels without amplifying disclosure. The sharpest evidence is by legal origin, where common-law firms increase disclosure after Paris with no matching gain in substantive innovation. We read this as institutional decoupling at the treaty level: talk converges across jurisdictions while action does not.</w:t>
      </w:r>
    </w:p>
    <w:p>
      <w:pPr>
        <w:jc w:val="both"/>
        <w:spacing w:after="120" w:line="276" w:lineRule="auto"/>
      </w:pPr>
      <w:r>
        <w:t xml:space="preserve">The study makes three contributions. Empirically, it provides one of the first large-scale, cross-country quasi-experimental tests to distinguish substantive green innovation from symbolic disclosure as competing responses to international climate pressure, rather than collapsing them into a single sustainability metric. Theoretically, it reframes the rule of law: instead of simply deterring symbolic compliance, a strong rule of law can leave it intact while shaping the disclosure channel, since heightened scrutiny raises the legitimacy stakes of visible compliance while leaving the high cost of genuine innovation untouched. Substantively, it shows that climate treaties can harmonize environmental talk across jurisdictions while leaving environmental action largely in place, with the symbolic response patterned by legal origin. The remainder of the paper develops the theoretical framework and hypotheses, sets out the data and identification strategy, presents the results, discusses them, and concludes with implications, limitations, and directions for future research.</w:t>
      </w:r>
    </w:p>
    <w:p>
      <w:pPr>
        <w:spacing w:before="200" w:after="120"/>
      </w:pPr>
      <w:r>
        <w:rPr>
          <w:b/>
          <w:sz w:val="26"/>
          <w:szCs w:val="26"/>
        </w:rPr>
        <w:t xml:space="preserve">2. Theoretical Framework and Hypotheses</w:t>
      </w:r>
    </w:p>
    <w:p>
      <w:pPr>
        <w:jc w:val="both"/>
        <w:spacing w:after="120" w:line="276" w:lineRule="auto"/>
      </w:pPr>
      <w:r>
        <w:t xml:space="preserve">Institutional theory serves here as an interpretive lens that generates testable predictions rather than as a free-standing survey. A synthesis of sixty-two empirical studies of corporate governance and carbon disclosure confirms that legitimacy, stakeholder, and institutional theories dominate the field, accounting between them for the large majority of the framings in use (Ali et al., 2024). The framework first establishes isomorphic pressure, legitimacy, and decoupling as the mechanism linking external climate pressure to firm responses, then derives three hypotheses concerning, in turn, the average innovation effect of the Paris Agreement, the conditioning role of the rule of law, and the role of legal origin. Each hypothesis sets the relevant evidence into opposing bodies of work and reads the tension between them.</w:t>
      </w:r>
    </w:p>
    <w:p>
      <w:pPr>
        <w:spacing w:before="160" w:after="100"/>
      </w:pPr>
      <w:r>
        <w:rPr>
          <w:b/>
          <w:i/>
          <w:sz w:val="24"/>
          <w:szCs w:val="24"/>
        </w:rPr>
        <w:t xml:space="preserve">2.1 Institutional pressure, legitimacy, and decoupling</w:t>
      </w:r>
    </w:p>
    <w:p>
      <w:pPr>
        <w:jc w:val="both"/>
        <w:spacing w:after="120" w:line="276" w:lineRule="auto"/>
      </w:pPr>
      <w:r>
        <w:t xml:space="preserve">Institutional theory holds that organizations secure survival through technical efficiency and, no less, through legitimacy, that is, conformity to the rules, norms, and expectations of their institutional environment (Deegan, 2002; Meyer &amp; Rowan, 1977; Suchman, 1995). Pressure to conform arrives through three channels: coercive pressure from regulation and binding authority, normative pressure from professional, industry, and stakeholder expectations, and mimetic pressure to imitate peers under uncertainty (DiMaggio &amp; Powell, 1983). As these pressures intensify within an organizational field, firms come to resemble one another, adopting the same policies, structures, and disclosures, since conformity confers legitimacy whether or not it improves underlying performance (Bhuiyan et al., 2023; Rugman &amp; Verbeke, 1998). The mimetic channel matters especially for environmental reporting: where the content of adequate climate action is uncertain, firms model their disclosures on visible industry leaders, accelerating the diffusion of reporting practices independently of any change in environmental outcomes (Aragón-Correa et al., 2020; Marquis et al., 2016).</w:t>
      </w:r>
    </w:p>
    <w:p>
      <w:pPr>
        <w:jc w:val="both"/>
        <w:spacing w:after="120" w:line="276" w:lineRule="auto"/>
      </w:pPr>
      <w:r>
        <w:t xml:space="preserve">The central insight for this study is that conformity can be ceremonial. When the practices demanded by the institutional environment are costly, slow, or in tension with operational realities, organizations resolve the conflict by decoupling, maintaining the formal structures that signal conformity while buffering actual practice from them (Meyer &amp; Rowan, 1977). Firms thereby capture the legitimacy benefits of appearing to comply without bearing the full cost of substantive change. Later work treats decoupling as an actively managed response rather than a passive gap, with firms selecting which expectations to satisfy symbolically and which to absorb (Oliver, 1991), while a complementary tradition frames the result as organized hypocrisy, in which contradictory pressures lead organizations to talk in one register while deciding and acting in another (Brunsson, 1989; Cho et al., 2015). In the environmental domain this logic underlies greenwashing, the calibrated pairing of visible, low-cost symbolic action with limited substantive investment (Bansal &amp; Clelland, 2004; Lyon &amp; Maxwell, 2011; Lyon &amp; Montgomery, 2015), whose drivers span external market pressure, information asymmetry, and weak monitoring (Berchicci &amp; King, 2007; Delmas &amp; Burbano, 2011; Kim &amp; Lyon, 2015; Seele &amp; Gatti, 2017). This framing motivates the paper's central analytical move: separating two firm responses to climate pressure that the literature usually bundles into a single sustainability metric (Hawn &amp; Ioannou, 2016).</w:t>
      </w:r>
    </w:p>
    <w:p>
      <w:pPr>
        <w:spacing w:before="160" w:after="100"/>
      </w:pPr>
      <w:r>
        <w:rPr>
          <w:b/>
          <w:i/>
          <w:sz w:val="24"/>
          <w:szCs w:val="24"/>
        </w:rPr>
        <w:t xml:space="preserve">2.2 Separating the symbolic from the substantive</w:t>
      </w:r>
    </w:p>
    <w:p>
      <w:pPr>
        <w:jc w:val="both"/>
        <w:spacing w:after="120" w:line="276" w:lineRule="auto"/>
      </w:pPr>
      <w:r>
        <w:t xml:space="preserve">The case for treating disclosure and innovation as separate outcomes rests on a literature long divided over whether environmental disclosure reveals or conceals underlying performance. One body of work, grounded in legitimacy theory, finds that disclosure rises where performance is weakest: Patten (2002) showed that firms raised environmental disclosure after the Exxon Valdez disaster irrespective of their own performance; Cho and Patten (2007) found that worse environmental performers disclosed more non-litigation environmental information; and Cho et al. (2010) found that the language of corporate environmental disclosure is tailored to manage impressions rather than to convey performance, echoing earlier evidence on the strategic shaping of social and environmental reporting (Cormier &amp; Gordon, 2001). A voluntary-disclosure tradition finds the reverse: Clarkson et al. (2008) showed that superior environmental performers disclosed more in objective, hard-to-imitate terms in order to separate themselves from poor performers, and Dhaliwal et al. (2011) found that initiating voluntary non-financial disclosure was associated with a lower cost of equity capital among higher performers. Reconciling the two, Hummel and Schlick (2016) found that both patterns coexist, with high performers pursuing high-quality disclosure to signal their type and poor performers pursuing low-quality disclosure to obscure theirs.</w:t>
      </w:r>
    </w:p>
    <w:p>
      <w:pPr>
        <w:jc w:val="both"/>
        <w:spacing w:after="120" w:line="276" w:lineRule="auto"/>
      </w:pPr>
      <w:r>
        <w:t xml:space="preserve">What unites these strands is the recognition that disclosure and underlying performance are distinct constructs whose relationship is an empirical question, not an identity. The distinction is sharpened by evidence that composite ESG ratings, which blend the two, are unreliable proxies for substance: Berg et al. (2022) found that ESG ratings from major providers diverge substantially owing to differences in scope and weighting, Gibson Brandon et al. (2021) found that this disagreement is itself priced, and Christensen et al. (2021) found that greater disclosure does not reliably yield more comparable or more informative sustainability information, while independent external assurance has been advanced as a partial remedy for the resulting credibility gap (Boiral et al., 2024). Most directly for the present study, Cohen et al. (2020) found that firms with higher ESG ratings did not produce more, or higher-quality, green innovation as measured by patents, and that some of the most prolific green innovators carried low ESG scores, while Clementino and Perkins (2021) found that firms often respond to ESG ratings through reactive impression management rather than operational change. This ESG-innovation disconnect is the empirical anchor of the design adopted here, which estimates effects on green innovation and on environmental disclosure separately rather than on a combined score (Alsaifi et al., 2020; Borghei, 2021; Hahn &amp; Lülfs, 2014; Manes-Rossi &amp; Nicolò, 2022).</w:t>
      </w:r>
    </w:p>
    <w:p>
      <w:pPr>
        <w:spacing w:before="160" w:after="100"/>
      </w:pPr>
      <w:r>
        <w:rPr>
          <w:b/>
          <w:i/>
          <w:sz w:val="24"/>
          <w:szCs w:val="24"/>
        </w:rPr>
        <w:t xml:space="preserve">2.3 The Paris Agreement as an institutional shock</w:t>
      </w:r>
    </w:p>
    <w:p>
      <w:pPr>
        <w:jc w:val="both"/>
        <w:spacing w:after="120" w:line="276" w:lineRule="auto"/>
      </w:pPr>
      <w:r>
        <w:t xml:space="preserve">The Paris Agreement is best understood as a coercive-normative shock to the global organizational field. As a legally binding treaty among states it raised the salience and legitimacy of corporate climate action worldwide; as an instrument, however, it imposes no binding, enforceable obligation on the individual firm. Legal scholarship is explicit that, although the Agreement binds its state parties, its core mitigation provisions operate as obligations of conduct rather than of result and contain no firm-level compliance or sanction mechanism (Bodansky, 2016; Voigt, 2023), so that the transparency framework works largely through peer review and reputational pressure that domestic litigation has only begun to convert into enforceable duties (Harvard International Law Journal, 2024; Transnational Environmental Law, 2019).</w:t>
      </w:r>
    </w:p>
    <w:p>
      <w:pPr>
        <w:jc w:val="both"/>
        <w:spacing w:after="120" w:line="276" w:lineRule="auto"/>
      </w:pPr>
      <w:r>
        <w:t xml:space="preserve">Whether this normative shock produced substantive innovation or symbolic disclosure is empirically contested. One line of recent evidence finds that the treaty and the policies surrounding it moved real innovation: Bettarelli et al. (2025), using a difference-in-differences design across forty advanced and emerging economies, found that stricter climate-change policies raised green patenting, with the effect intensifying over time and concentrated in technology-support instruments; Makeeva et al. (2024) found green-energy patents associated with stronger firm performance across BRICS economies; and the long-standing regulation-induces-innovation tradition holds that well-designed environmental pressure can prompt offsetting innovation (Ambec et al., 2013; Berrone et al., 2013; Cohen &amp; Tubb, 2018; Jaffe &amp; Palmer, 1997; Porter &amp; van der Linde, 1995). A competing line finds the post-Paris response largely communicative rather than operational: Bolton et al. (2023) found that climate patents drew an inflow of responsible institutional investors and better environmental ratings yet produced no improvement in the innovator's operating performance or carbon emissions; Cohen et al. (2020) documented the ESG-innovation disconnect noted above; Acharya et al. (2025) found the surge of corporate climate pledges consistent with profit-driven and reputational motives rather than deep decarbonization; and Manya et al. (2026) found greenwashing-risk indicators pervasive across pledging firms and only weakly related to announced ambition. Read together, the evidence suggests that a treaty high in legitimacy salience yet low in firm-level enforcement should be met disproportionately through the cheaper, faster, symbolic channel, leaving the average effect on substantive innovation, which requires sustained and costly operational change, correspondingly limited (Park et al., 2023).</w:t>
      </w:r>
    </w:p>
    <w:p>
      <w:pPr>
        <w:spacing w:after="120"/>
        <w:ind w:left="360"/>
      </w:pPr>
      <w:r>
        <w:rPr>
          <w:b/>
        </w:rPr>
        <w:t xml:space="preserve">Hypothesis 1.</w:t>
      </w:r>
      <w:r>
        <w:t xml:space="preserve"> The Paris Agreement is not significantly associated with substantive corporate green innovation.</w:t>
      </w:r>
    </w:p>
    <w:p>
      <w:pPr>
        <w:spacing w:before="160" w:after="100"/>
      </w:pPr>
      <w:r>
        <w:rPr>
          <w:b/>
          <w:i/>
          <w:sz w:val="24"/>
          <w:szCs w:val="24"/>
        </w:rPr>
        <w:t xml:space="preserve">2.4 The rule of law and the separation of channels</w:t>
      </w:r>
    </w:p>
    <w:p>
      <w:pPr>
        <w:jc w:val="both"/>
        <w:spacing w:after="120" w:line="276" w:lineRule="auto"/>
      </w:pPr>
      <w:r>
        <w:t xml:space="preserve">Whether a strong rule of law disciplines the symbolic channel is, again, contested. A deterrence view holds that scrutiny and enforcement suppress misleading disclosure: La Porta et al. (2008) established that stronger legal enforcement underpins investor protection and corporate transparency, Marquis et al. (2016) found that greater scrutiny reduced selective environmental disclosure among more visible firms, and Yu et al. (2020) found greenwashing attenuated by independent directors, institutional investors, cross-listing, and a less corrupt national system. Recent firm-level work agrees: Cepêda et al. (2025) found that institutional ownership mitigated ESG decoupling, and Keresztúri et al. (2025) found that internal and external monitoring systems reduced incident-based greenwashing across developed-market firms. A persistence view finds the opposite, namely that decoupling survives, and is even priced, where oversight is strong: Eliwa et al. (2023) found ESG decoupling enduring across well-regulated European settings and reflected in the cost of debt, and Kercher et al. (2026) found that advanced markets combine the highest environmental disclosure with high performance yet do not eliminate the disclosure-performance gap. Informal institutions complicate matters further, since social trust shapes firms' greenwashing strategies in ways formal enforcement alone does not capture (Shuang et al., 2024). This tension points to a possibility more counter-intuitive than deterrence. Where the rule of law is strong, scrutiny is higher and the legitimacy stakes of being seen to respond rise in tandem, whereas the cost of substantive innovation remains high and largely invariant to setting, so that any conditional response is more likely to register in the cheaper reporting channel than in the operational one.</w:t>
      </w:r>
    </w:p>
    <w:p>
      <w:pPr>
        <w:spacing w:after="120"/>
        <w:ind w:left="360"/>
      </w:pPr>
      <w:r>
        <w:rPr>
          <w:b/>
        </w:rPr>
        <w:t xml:space="preserve">Hypothesis 2.</w:t>
      </w:r>
      <w:r>
        <w:t xml:space="preserve"> A strong rule of law is negatively associated with post-Paris environmental disclosure and is not associated with substantive green innovation.</w:t>
      </w:r>
    </w:p>
    <w:p>
      <w:pPr>
        <w:spacing w:before="160" w:after="100"/>
      </w:pPr>
      <w:r>
        <w:rPr>
          <w:b/>
          <w:i/>
          <w:sz w:val="24"/>
          <w:szCs w:val="24"/>
        </w:rPr>
        <w:t xml:space="preserve">2.5 Legal origin and institutional convergence</w:t>
      </w:r>
    </w:p>
    <w:p>
      <w:pPr>
        <w:jc w:val="both"/>
        <w:spacing w:after="120" w:line="276" w:lineRule="auto"/>
      </w:pPr>
      <w:r>
        <w:t xml:space="preserve">The symbolic response should be patterned by the deeper legal tradition in which a firm is embedded, though the direction of that patterning is contested. A stakeholder view holds that civil-law systems, oriented toward stakeholder inclusion, produce stronger environmental and social commitment: Liang and Renneboog (2017) found corporate social responsibility ratings higher in civil-law than in common-law countries, with Scandinavian-origin firms highest of all; Ryu et al. (2017) found civil-law firms exhibiting significantly higher corporate environmental responsibility than common-law firms; and El Kalak et al. (2026) found firms of civil-law ancestry exhibiting stronger corporate social responsibility and fewer associated concerns. A shareholder view holds that common-law systems, oriented toward shareholder primacy and market-based disclosure, are associated with weaker substantive environmental outcomes yet heavier reliance on reported information: Min (2016) found shareholder-focused common-law origin associated with significantly higher carbon emissions, and that international environmental agreements bit harder in shareholder-centric economies than usually assumed; Conzo et al. (2020) found no environmental difference across traditions yet higher common-law performance on governance and community dimensions, which they attributed to convergence toward shared industry standards; and Lu and Wang (2021) found legal and cultural context jointly shaping environmental performance and disclosure across a global sample. A signaling perspective on cross-country governance reaches a compatible conclusion: the same disclosure carries different meaning across institutional settings (Bae et al., 2018). What both views share is the recognition that disclosure-based legitimation is the native currency of common-law systems, where market actors evaluate firms heavily through publicly reported information (La Porta et al., 2008). When a global treaty raises climate-legitimacy expectations, common-law firms should therefore reach first and most readily for the disclosure channel, producing a stronger symbolic response without a corresponding substantive advantage.</w:t>
      </w:r>
    </w:p>
    <w:p>
      <w:pPr>
        <w:spacing w:after="120"/>
        <w:ind w:left="360"/>
      </w:pPr>
      <w:r>
        <w:rPr>
          <w:b/>
        </w:rPr>
        <w:t xml:space="preserve">Hypothesis 3.</w:t>
      </w:r>
      <w:r>
        <w:t xml:space="preserve"> Common-law firms exhibit a stronger symbolic disclosure response to the Paris Agreement than civil-law firms, with no corresponding advantage in substantive green innovation.</w:t>
      </w:r>
    </w:p>
    <w:p>
      <w:pPr>
        <w:jc w:val="center"/>
        <w:spacing w:after="120" w:line="276" w:lineRule="auto"/>
      </w:pPr>
      <w:r>
        <w:rPr>
          <w:i/>
          <w:sz w:val="20"/>
          <w:szCs w:val="20"/>
        </w:rPr>
        <w:t xml:space="preserve">[Insert Figure 1 here]</w:t>
      </w:r>
    </w:p>
    <w:p>
      <w:pPr>
        <w:jc w:val="both"/>
        <w:spacing w:after="120" w:line="276" w:lineRule="auto"/>
      </w:pPr>
      <w:r>
        <w:t xml:space="preserve">Taken together, the three hypotheses describe one phenomenon viewed from three angles: an international climate treaty that raises legitimacy expectations across the global field produces convergence in environmental disclosure rather than environmental innovation, with the response concentrated in the symbolic channel under a strong rule of law rather than restrained by it, and most pronounced in common-law settings. The conceptual framework linking the three hypotheses is summarized in Figure 1.</w:t>
      </w:r>
    </w:p>
    <w:p>
      <w:pPr>
        <w:spacing w:before="200" w:after="120"/>
      </w:pPr>
      <w:r>
        <w:rPr>
          <w:b/>
          <w:sz w:val="26"/>
          <w:szCs w:val="26"/>
        </w:rPr>
        <w:t xml:space="preserve">3. Research Design</w:t>
      </w:r>
    </w:p>
    <w:p>
      <w:pPr>
        <w:spacing w:before="160" w:after="100"/>
      </w:pPr>
      <w:r>
        <w:rPr>
          <w:b/>
          <w:i/>
          <w:sz w:val="24"/>
          <w:szCs w:val="24"/>
        </w:rPr>
        <w:t xml:space="preserve">3.1 Sample and data collection</w:t>
      </w:r>
    </w:p>
    <w:p>
      <w:pPr>
        <w:jc w:val="both"/>
        <w:spacing w:after="120" w:line="276" w:lineRule="auto"/>
      </w:pPr>
      <w:r>
        <w:t xml:space="preserve">The analysis draws on an international firm-year panel covering 51 countries and economies over 2007 to 2025, comprising 174,056 firm-year observations. The panel is broad but, as is common in cross-country firm-level studies, unevenly distributed: the five largest country and economy blocks, namely Japan, India, Korea, China, and Hong Kong, together account for roughly half of all observations, reflecting the coverage of large listed firms in major Asian and Anglophone markets (Table 1). This distribution is retained rather than rebalanced, and the analysis later tests whether the results depend on the largest markets.</w:t>
      </w:r>
    </w:p>
    <w:p>
      <w:pPr>
        <w:spacing w:after="60" w:line="276" w:lineRule="auto"/>
      </w:pPr>
      <w:r>
        <w:rPr>
          <w:b/>
        </w:rPr>
        <w:t xml:space="preserve">Table 1. Sample distribution by country</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N obs</w:t>
            </w:r>
          </w:p>
        </w:tc>
        <w:tc>
          <w:tcPr>
            <w:tcMar>
              <w:top w:w="20" w:type="dxa"/>
              <w:bottom w:w="20" w:type="dxa"/>
              <w:left w:w="40" w:type="dxa"/>
              <w:right w:w="40" w:type="dxa"/>
            </w:tcMar>
          </w:tcPr>
          <w:p>
            <w:pPr>
              <w:spacing w:after="0" w:line="240" w:lineRule="auto"/>
            </w:pPr>
            <w:r>
              <w:rPr>
                <w:b/>
                <w:sz w:val="16"/>
                <w:szCs w:val="16"/>
              </w:rPr>
              <w:t xml:space="preserve">Percent</w:t>
            </w:r>
          </w:p>
        </w:tc>
      </w:tr>
      <w:tr>
        <w:tc>
          <w:tcPr>
            <w:tcMar>
              <w:top w:w="20" w:type="dxa"/>
              <w:bottom w:w="20" w:type="dxa"/>
              <w:left w:w="40" w:type="dxa"/>
              <w:right w:w="40" w:type="dxa"/>
            </w:tcMar>
          </w:tcPr>
          <w:p>
            <w:pPr>
              <w:spacing w:after="0" w:line="240" w:lineRule="auto"/>
            </w:pPr>
            <w:r>
              <w:rPr>
                <w:sz w:val="16"/>
                <w:szCs w:val="16"/>
              </w:rPr>
              <w:t xml:space="preserve">ARE</w:t>
            </w:r>
          </w:p>
        </w:tc>
        <w:tc>
          <w:tcPr>
            <w:tcMar>
              <w:top w:w="20" w:type="dxa"/>
              <w:bottom w:w="20" w:type="dxa"/>
              <w:left w:w="40" w:type="dxa"/>
              <w:right w:w="40" w:type="dxa"/>
            </w:tcMar>
          </w:tcPr>
          <w:p>
            <w:pPr>
              <w:spacing w:after="0" w:line="240" w:lineRule="auto"/>
            </w:pPr>
            <w:r>
              <w:rPr>
                <w:sz w:val="16"/>
                <w:szCs w:val="16"/>
              </w:rPr>
              <w:t xml:space="preserve">963</w:t>
            </w:r>
          </w:p>
        </w:tc>
        <w:tc>
          <w:tcPr>
            <w:tcMar>
              <w:top w:w="20" w:type="dxa"/>
              <w:bottom w:w="20" w:type="dxa"/>
              <w:left w:w="40" w:type="dxa"/>
              <w:right w:w="40" w:type="dxa"/>
            </w:tcMar>
          </w:tcPr>
          <w:p>
            <w:pPr>
              <w:spacing w:after="0" w:line="240" w:lineRule="auto"/>
            </w:pPr>
            <w:r>
              <w:rPr>
                <w:sz w:val="16"/>
                <w:szCs w:val="16"/>
              </w:rPr>
              <w:t xml:space="preserve">0.55</w:t>
            </w:r>
          </w:p>
        </w:tc>
      </w:tr>
      <w:tr>
        <w:tc>
          <w:tcPr>
            <w:tcMar>
              <w:top w:w="20" w:type="dxa"/>
              <w:bottom w:w="20" w:type="dxa"/>
              <w:left w:w="40" w:type="dxa"/>
              <w:right w:w="40" w:type="dxa"/>
            </w:tcMar>
          </w:tcPr>
          <w:p>
            <w:pPr>
              <w:spacing w:after="0" w:line="240" w:lineRule="auto"/>
            </w:pPr>
            <w:r>
              <w:rPr>
                <w:sz w:val="16"/>
                <w:szCs w:val="16"/>
              </w:rPr>
              <w:t xml:space="preserve">ARG</w:t>
            </w:r>
          </w:p>
        </w:tc>
        <w:tc>
          <w:tcPr>
            <w:tcMar>
              <w:top w:w="20" w:type="dxa"/>
              <w:bottom w:w="20" w:type="dxa"/>
              <w:left w:w="40" w:type="dxa"/>
              <w:right w:w="40" w:type="dxa"/>
            </w:tcMar>
          </w:tcPr>
          <w:p>
            <w:pPr>
              <w:spacing w:after="0" w:line="240" w:lineRule="auto"/>
            </w:pPr>
            <w:r>
              <w:rPr>
                <w:sz w:val="16"/>
                <w:szCs w:val="16"/>
              </w:rPr>
              <w:t xml:space="preserve">480</w:t>
            </w:r>
          </w:p>
        </w:tc>
        <w:tc>
          <w:tcPr>
            <w:tcMar>
              <w:top w:w="20" w:type="dxa"/>
              <w:bottom w:w="20" w:type="dxa"/>
              <w:left w:w="40" w:type="dxa"/>
              <w:right w:w="40" w:type="dxa"/>
            </w:tcMar>
          </w:tcPr>
          <w:p>
            <w:pPr>
              <w:spacing w:after="0" w:line="240" w:lineRule="auto"/>
            </w:pPr>
            <w:r>
              <w:rPr>
                <w:sz w:val="16"/>
                <w:szCs w:val="16"/>
              </w:rPr>
              <w:t xml:space="preserve">0.28</w:t>
            </w:r>
          </w:p>
        </w:tc>
      </w:tr>
      <w:tr>
        <w:tc>
          <w:tcPr>
            <w:tcMar>
              <w:top w:w="20" w:type="dxa"/>
              <w:bottom w:w="20" w:type="dxa"/>
              <w:left w:w="40" w:type="dxa"/>
              <w:right w:w="40" w:type="dxa"/>
            </w:tcMar>
          </w:tcPr>
          <w:p>
            <w:pPr>
              <w:spacing w:after="0" w:line="240" w:lineRule="auto"/>
            </w:pPr>
            <w:r>
              <w:rPr>
                <w:sz w:val="16"/>
                <w:szCs w:val="16"/>
              </w:rPr>
              <w:t xml:space="preserve">AUS</w:t>
            </w:r>
          </w:p>
        </w:tc>
        <w:tc>
          <w:tcPr>
            <w:tcMar>
              <w:top w:w="20" w:type="dxa"/>
              <w:bottom w:w="20" w:type="dxa"/>
              <w:left w:w="40" w:type="dxa"/>
              <w:right w:w="40" w:type="dxa"/>
            </w:tcMar>
          </w:tcPr>
          <w:p>
            <w:pPr>
              <w:spacing w:after="0" w:line="240" w:lineRule="auto"/>
            </w:pPr>
            <w:r>
              <w:rPr>
                <w:sz w:val="16"/>
                <w:szCs w:val="16"/>
              </w:rPr>
              <w:t xml:space="preserve">6940</w:t>
            </w:r>
          </w:p>
        </w:tc>
        <w:tc>
          <w:tcPr>
            <w:tcMar>
              <w:top w:w="20" w:type="dxa"/>
              <w:bottom w:w="20" w:type="dxa"/>
              <w:left w:w="40" w:type="dxa"/>
              <w:right w:w="40" w:type="dxa"/>
            </w:tcMar>
          </w:tcPr>
          <w:p>
            <w:pPr>
              <w:spacing w:after="0" w:line="240" w:lineRule="auto"/>
            </w:pPr>
            <w:r>
              <w:rPr>
                <w:sz w:val="16"/>
                <w:szCs w:val="16"/>
              </w:rPr>
              <w:t xml:space="preserve">3.99</w:t>
            </w:r>
          </w:p>
        </w:tc>
      </w:tr>
      <w:tr>
        <w:tc>
          <w:tcPr>
            <w:tcMar>
              <w:top w:w="20" w:type="dxa"/>
              <w:bottom w:w="20" w:type="dxa"/>
              <w:left w:w="40" w:type="dxa"/>
              <w:right w:w="40" w:type="dxa"/>
            </w:tcMar>
          </w:tcPr>
          <w:p>
            <w:pPr>
              <w:spacing w:after="0" w:line="240" w:lineRule="auto"/>
            </w:pPr>
            <w:r>
              <w:rPr>
                <w:sz w:val="16"/>
                <w:szCs w:val="16"/>
              </w:rPr>
              <w:t xml:space="preserve">AUT</w:t>
            </w:r>
          </w:p>
        </w:tc>
        <w:tc>
          <w:tcPr>
            <w:tcMar>
              <w:top w:w="20" w:type="dxa"/>
              <w:bottom w:w="20" w:type="dxa"/>
              <w:left w:w="40" w:type="dxa"/>
              <w:right w:w="40" w:type="dxa"/>
            </w:tcMar>
          </w:tcPr>
          <w:p>
            <w:pPr>
              <w:spacing w:after="0" w:line="240" w:lineRule="auto"/>
            </w:pPr>
            <w:r>
              <w:rPr>
                <w:sz w:val="16"/>
                <w:szCs w:val="16"/>
              </w:rPr>
              <w:t xml:space="preserve">542</w:t>
            </w:r>
          </w:p>
        </w:tc>
        <w:tc>
          <w:tcPr>
            <w:tcMar>
              <w:top w:w="20" w:type="dxa"/>
              <w:bottom w:w="20" w:type="dxa"/>
              <w:left w:w="40" w:type="dxa"/>
              <w:right w:w="40" w:type="dxa"/>
            </w:tcMar>
          </w:tcPr>
          <w:p>
            <w:pPr>
              <w:spacing w:after="0" w:line="240" w:lineRule="auto"/>
            </w:pPr>
            <w:r>
              <w:rPr>
                <w:sz w:val="16"/>
                <w:szCs w:val="16"/>
              </w:rPr>
              <w:t xml:space="preserve">0.31</w:t>
            </w:r>
          </w:p>
        </w:tc>
      </w:tr>
      <w:tr>
        <w:tc>
          <w:tcPr>
            <w:tcMar>
              <w:top w:w="20" w:type="dxa"/>
              <w:bottom w:w="20" w:type="dxa"/>
              <w:left w:w="40" w:type="dxa"/>
              <w:right w:w="40" w:type="dxa"/>
            </w:tcMar>
          </w:tcPr>
          <w:p>
            <w:pPr>
              <w:spacing w:after="0" w:line="240" w:lineRule="auto"/>
            </w:pPr>
            <w:r>
              <w:rPr>
                <w:sz w:val="16"/>
                <w:szCs w:val="16"/>
              </w:rPr>
              <w:t xml:space="preserve">BEL</w:t>
            </w:r>
          </w:p>
        </w:tc>
        <w:tc>
          <w:tcPr>
            <w:tcMar>
              <w:top w:w="20" w:type="dxa"/>
              <w:bottom w:w="20" w:type="dxa"/>
              <w:left w:w="40" w:type="dxa"/>
              <w:right w:w="40" w:type="dxa"/>
            </w:tcMar>
          </w:tcPr>
          <w:p>
            <w:pPr>
              <w:spacing w:after="0" w:line="240" w:lineRule="auto"/>
            </w:pPr>
            <w:r>
              <w:rPr>
                <w:sz w:val="16"/>
                <w:szCs w:val="16"/>
              </w:rPr>
              <w:t xml:space="preserve">918</w:t>
            </w:r>
          </w:p>
        </w:tc>
        <w:tc>
          <w:tcPr>
            <w:tcMar>
              <w:top w:w="20" w:type="dxa"/>
              <w:bottom w:w="20" w:type="dxa"/>
              <w:left w:w="40" w:type="dxa"/>
              <w:right w:w="40" w:type="dxa"/>
            </w:tcMar>
          </w:tcPr>
          <w:p>
            <w:pPr>
              <w:spacing w:after="0" w:line="240" w:lineRule="auto"/>
            </w:pPr>
            <w:r>
              <w:rPr>
                <w:sz w:val="16"/>
                <w:szCs w:val="16"/>
              </w:rPr>
              <w:t xml:space="preserve">0.53</w:t>
            </w:r>
          </w:p>
        </w:tc>
      </w:tr>
      <w:tr>
        <w:tc>
          <w:tcPr>
            <w:tcMar>
              <w:top w:w="20" w:type="dxa"/>
              <w:bottom w:w="20" w:type="dxa"/>
              <w:left w:w="40" w:type="dxa"/>
              <w:right w:w="40" w:type="dxa"/>
            </w:tcMar>
          </w:tcPr>
          <w:p>
            <w:pPr>
              <w:spacing w:after="0" w:line="240" w:lineRule="auto"/>
            </w:pPr>
            <w:r>
              <w:rPr>
                <w:sz w:val="16"/>
                <w:szCs w:val="16"/>
              </w:rPr>
              <w:t xml:space="preserve">BHR</w:t>
            </w:r>
          </w:p>
        </w:tc>
        <w:tc>
          <w:tcPr>
            <w:tcMar>
              <w:top w:w="20" w:type="dxa"/>
              <w:bottom w:w="20" w:type="dxa"/>
              <w:left w:w="40" w:type="dxa"/>
              <w:right w:w="40" w:type="dxa"/>
            </w:tcMar>
          </w:tcPr>
          <w:p>
            <w:pPr>
              <w:spacing w:after="0" w:line="240" w:lineRule="auto"/>
            </w:pPr>
            <w:r>
              <w:rPr>
                <w:sz w:val="16"/>
                <w:szCs w:val="16"/>
              </w:rPr>
              <w:t xml:space="preserve">133</w:t>
            </w:r>
          </w:p>
        </w:tc>
        <w:tc>
          <w:tcPr>
            <w:tcMar>
              <w:top w:w="20" w:type="dxa"/>
              <w:bottom w:w="20" w:type="dxa"/>
              <w:left w:w="40" w:type="dxa"/>
              <w:right w:w="40" w:type="dxa"/>
            </w:tcMar>
          </w:tcPr>
          <w:p>
            <w:pPr>
              <w:spacing w:after="0" w:line="240" w:lineRule="auto"/>
            </w:pPr>
            <w:r>
              <w:rPr>
                <w:sz w:val="16"/>
                <w:szCs w:val="16"/>
              </w:rPr>
              <w:t xml:space="preserve">0.08</w:t>
            </w:r>
          </w:p>
        </w:tc>
      </w:tr>
      <w:tr>
        <w:tc>
          <w:tcPr>
            <w:tcMar>
              <w:top w:w="20" w:type="dxa"/>
              <w:bottom w:w="20" w:type="dxa"/>
              <w:left w:w="40" w:type="dxa"/>
              <w:right w:w="40" w:type="dxa"/>
            </w:tcMar>
          </w:tcPr>
          <w:p>
            <w:pPr>
              <w:spacing w:after="0" w:line="240" w:lineRule="auto"/>
            </w:pPr>
            <w:r>
              <w:rPr>
                <w:sz w:val="16"/>
                <w:szCs w:val="16"/>
              </w:rPr>
              <w:t xml:space="preserve">BRA</w:t>
            </w:r>
          </w:p>
        </w:tc>
        <w:tc>
          <w:tcPr>
            <w:tcMar>
              <w:top w:w="20" w:type="dxa"/>
              <w:bottom w:w="20" w:type="dxa"/>
              <w:left w:w="40" w:type="dxa"/>
              <w:right w:w="40" w:type="dxa"/>
            </w:tcMar>
          </w:tcPr>
          <w:p>
            <w:pPr>
              <w:spacing w:after="0" w:line="240" w:lineRule="auto"/>
            </w:pPr>
            <w:r>
              <w:rPr>
                <w:sz w:val="16"/>
                <w:szCs w:val="16"/>
              </w:rPr>
              <w:t xml:space="preserve">2638</w:t>
            </w:r>
          </w:p>
        </w:tc>
        <w:tc>
          <w:tcPr>
            <w:tcMar>
              <w:top w:w="20" w:type="dxa"/>
              <w:bottom w:w="20" w:type="dxa"/>
              <w:left w:w="40" w:type="dxa"/>
              <w:right w:w="40" w:type="dxa"/>
            </w:tcMar>
          </w:tcPr>
          <w:p>
            <w:pPr>
              <w:spacing w:after="0" w:line="240" w:lineRule="auto"/>
            </w:pPr>
            <w:r>
              <w:rPr>
                <w:sz w:val="16"/>
                <w:szCs w:val="16"/>
              </w:rPr>
              <w:t xml:space="preserve">1.52</w:t>
            </w:r>
          </w:p>
        </w:tc>
      </w:tr>
      <w:tr>
        <w:tc>
          <w:tcPr>
            <w:tcMar>
              <w:top w:w="20" w:type="dxa"/>
              <w:bottom w:w="20" w:type="dxa"/>
              <w:left w:w="40" w:type="dxa"/>
              <w:right w:w="40" w:type="dxa"/>
            </w:tcMar>
          </w:tcPr>
          <w:p>
            <w:pPr>
              <w:spacing w:after="0" w:line="240" w:lineRule="auto"/>
            </w:pPr>
            <w:r>
              <w:rPr>
                <w:sz w:val="16"/>
                <w:szCs w:val="16"/>
              </w:rPr>
              <w:t xml:space="preserve">CAN</w:t>
            </w:r>
          </w:p>
        </w:tc>
        <w:tc>
          <w:tcPr>
            <w:tcMar>
              <w:top w:w="20" w:type="dxa"/>
              <w:bottom w:w="20" w:type="dxa"/>
              <w:left w:w="40" w:type="dxa"/>
              <w:right w:w="40" w:type="dxa"/>
            </w:tcMar>
          </w:tcPr>
          <w:p>
            <w:pPr>
              <w:spacing w:after="0" w:line="240" w:lineRule="auto"/>
            </w:pPr>
            <w:r>
              <w:rPr>
                <w:sz w:val="16"/>
                <w:szCs w:val="16"/>
              </w:rPr>
              <w:t xml:space="preserve">5769</w:t>
            </w:r>
          </w:p>
        </w:tc>
        <w:tc>
          <w:tcPr>
            <w:tcMar>
              <w:top w:w="20" w:type="dxa"/>
              <w:bottom w:w="20" w:type="dxa"/>
              <w:left w:w="40" w:type="dxa"/>
              <w:right w:w="40" w:type="dxa"/>
            </w:tcMar>
          </w:tcPr>
          <w:p>
            <w:pPr>
              <w:spacing w:after="0" w:line="240" w:lineRule="auto"/>
            </w:pPr>
            <w:r>
              <w:rPr>
                <w:sz w:val="16"/>
                <w:szCs w:val="16"/>
              </w:rPr>
              <w:t xml:space="preserve">3.31</w:t>
            </w:r>
          </w:p>
        </w:tc>
      </w:tr>
      <w:tr>
        <w:tc>
          <w:tcPr>
            <w:tcMar>
              <w:top w:w="20" w:type="dxa"/>
              <w:bottom w:w="20" w:type="dxa"/>
              <w:left w:w="40" w:type="dxa"/>
              <w:right w:w="40" w:type="dxa"/>
            </w:tcMar>
          </w:tcPr>
          <w:p>
            <w:pPr>
              <w:spacing w:after="0" w:line="240" w:lineRule="auto"/>
            </w:pPr>
            <w:r>
              <w:rPr>
                <w:sz w:val="16"/>
                <w:szCs w:val="16"/>
              </w:rPr>
              <w:t xml:space="preserve">CHE</w:t>
            </w:r>
          </w:p>
        </w:tc>
        <w:tc>
          <w:tcPr>
            <w:tcMar>
              <w:top w:w="20" w:type="dxa"/>
              <w:bottom w:w="20" w:type="dxa"/>
              <w:left w:w="40" w:type="dxa"/>
              <w:right w:w="40" w:type="dxa"/>
            </w:tcMar>
          </w:tcPr>
          <w:p>
            <w:pPr>
              <w:spacing w:after="0" w:line="240" w:lineRule="auto"/>
            </w:pPr>
            <w:r>
              <w:rPr>
                <w:sz w:val="16"/>
                <w:szCs w:val="16"/>
              </w:rPr>
              <w:t xml:space="preserve">1931</w:t>
            </w:r>
          </w:p>
        </w:tc>
        <w:tc>
          <w:tcPr>
            <w:tcMar>
              <w:top w:w="20" w:type="dxa"/>
              <w:bottom w:w="20" w:type="dxa"/>
              <w:left w:w="40" w:type="dxa"/>
              <w:right w:w="40" w:type="dxa"/>
            </w:tcMar>
          </w:tcPr>
          <w:p>
            <w:pPr>
              <w:spacing w:after="0" w:line="240" w:lineRule="auto"/>
            </w:pPr>
            <w:r>
              <w:rPr>
                <w:sz w:val="16"/>
                <w:szCs w:val="16"/>
              </w:rPr>
              <w:t xml:space="preserve">1.11</w:t>
            </w:r>
          </w:p>
        </w:tc>
      </w:tr>
      <w:tr>
        <w:tc>
          <w:tcPr>
            <w:tcMar>
              <w:top w:w="20" w:type="dxa"/>
              <w:bottom w:w="20" w:type="dxa"/>
              <w:left w:w="40" w:type="dxa"/>
              <w:right w:w="40" w:type="dxa"/>
            </w:tcMar>
          </w:tcPr>
          <w:p>
            <w:pPr>
              <w:spacing w:after="0" w:line="240" w:lineRule="auto"/>
            </w:pPr>
            <w:r>
              <w:rPr>
                <w:sz w:val="16"/>
                <w:szCs w:val="16"/>
              </w:rPr>
              <w:t xml:space="preserve">CHL</w:t>
            </w:r>
          </w:p>
        </w:tc>
        <w:tc>
          <w:tcPr>
            <w:tcMar>
              <w:top w:w="20" w:type="dxa"/>
              <w:bottom w:w="20" w:type="dxa"/>
              <w:left w:w="40" w:type="dxa"/>
              <w:right w:w="40" w:type="dxa"/>
            </w:tcMar>
          </w:tcPr>
          <w:p>
            <w:pPr>
              <w:spacing w:after="0" w:line="240" w:lineRule="auto"/>
            </w:pPr>
            <w:r>
              <w:rPr>
                <w:sz w:val="16"/>
                <w:szCs w:val="16"/>
              </w:rPr>
              <w:t xml:space="preserve">801</w:t>
            </w:r>
          </w:p>
        </w:tc>
        <w:tc>
          <w:tcPr>
            <w:tcMar>
              <w:top w:w="20" w:type="dxa"/>
              <w:bottom w:w="20" w:type="dxa"/>
              <w:left w:w="40" w:type="dxa"/>
              <w:right w:w="40" w:type="dxa"/>
            </w:tcMar>
          </w:tcPr>
          <w:p>
            <w:pPr>
              <w:spacing w:after="0" w:line="240" w:lineRule="auto"/>
            </w:pPr>
            <w:r>
              <w:rPr>
                <w:sz w:val="16"/>
                <w:szCs w:val="16"/>
              </w:rPr>
              <w:t xml:space="preserve">0.46</w:t>
            </w:r>
          </w:p>
        </w:tc>
      </w:tr>
      <w:tr>
        <w:tc>
          <w:tcPr>
            <w:tcMar>
              <w:top w:w="20" w:type="dxa"/>
              <w:bottom w:w="20" w:type="dxa"/>
              <w:left w:w="40" w:type="dxa"/>
              <w:right w:w="40" w:type="dxa"/>
            </w:tcMar>
          </w:tcPr>
          <w:p>
            <w:pPr>
              <w:spacing w:after="0" w:line="240" w:lineRule="auto"/>
            </w:pPr>
            <w:r>
              <w:rPr>
                <w:sz w:val="16"/>
                <w:szCs w:val="16"/>
              </w:rPr>
              <w:t xml:space="preserve">CHN</w:t>
            </w:r>
          </w:p>
        </w:tc>
        <w:tc>
          <w:tcPr>
            <w:tcMar>
              <w:top w:w="20" w:type="dxa"/>
              <w:bottom w:w="20" w:type="dxa"/>
              <w:left w:w="40" w:type="dxa"/>
              <w:right w:w="40" w:type="dxa"/>
            </w:tcMar>
          </w:tcPr>
          <w:p>
            <w:pPr>
              <w:spacing w:after="0" w:line="240" w:lineRule="auto"/>
            </w:pPr>
            <w:r>
              <w:rPr>
                <w:sz w:val="16"/>
                <w:szCs w:val="16"/>
              </w:rPr>
              <w:t xml:space="preserve">13068</w:t>
            </w:r>
          </w:p>
        </w:tc>
        <w:tc>
          <w:tcPr>
            <w:tcMar>
              <w:top w:w="20" w:type="dxa"/>
              <w:bottom w:w="20" w:type="dxa"/>
              <w:left w:w="40" w:type="dxa"/>
              <w:right w:w="40" w:type="dxa"/>
            </w:tcMar>
          </w:tcPr>
          <w:p>
            <w:pPr>
              <w:spacing w:after="0" w:line="240" w:lineRule="auto"/>
            </w:pPr>
            <w:r>
              <w:rPr>
                <w:sz w:val="16"/>
                <w:szCs w:val="16"/>
              </w:rPr>
              <w:t xml:space="preserve">7.51</w:t>
            </w:r>
          </w:p>
        </w:tc>
      </w:tr>
      <w:tr>
        <w:tc>
          <w:tcPr>
            <w:tcMar>
              <w:top w:w="20" w:type="dxa"/>
              <w:bottom w:w="20" w:type="dxa"/>
              <w:left w:w="40" w:type="dxa"/>
              <w:right w:w="40" w:type="dxa"/>
            </w:tcMar>
          </w:tcPr>
          <w:p>
            <w:pPr>
              <w:spacing w:after="0" w:line="240" w:lineRule="auto"/>
            </w:pPr>
            <w:r>
              <w:rPr>
                <w:sz w:val="16"/>
                <w:szCs w:val="16"/>
              </w:rPr>
              <w:t xml:space="preserve">CZE</w:t>
            </w:r>
          </w:p>
        </w:tc>
        <w:tc>
          <w:tcPr>
            <w:tcMar>
              <w:top w:w="20" w:type="dxa"/>
              <w:bottom w:w="20" w:type="dxa"/>
              <w:left w:w="40" w:type="dxa"/>
              <w:right w:w="40" w:type="dxa"/>
            </w:tcMar>
          </w:tcPr>
          <w:p>
            <w:pPr>
              <w:spacing w:after="0" w:line="240" w:lineRule="auto"/>
            </w:pPr>
            <w:r>
              <w:rPr>
                <w:sz w:val="16"/>
                <w:szCs w:val="16"/>
              </w:rPr>
              <w:t xml:space="preserve">84</w:t>
            </w:r>
          </w:p>
        </w:tc>
        <w:tc>
          <w:tcPr>
            <w:tcMar>
              <w:top w:w="20" w:type="dxa"/>
              <w:bottom w:w="20" w:type="dxa"/>
              <w:left w:w="40" w:type="dxa"/>
              <w:right w:w="40" w:type="dxa"/>
            </w:tcMar>
          </w:tcPr>
          <w:p>
            <w:pPr>
              <w:spacing w:after="0" w:line="240" w:lineRule="auto"/>
            </w:pPr>
            <w:r>
              <w:rPr>
                <w:sz w:val="16"/>
                <w:szCs w:val="16"/>
              </w:rPr>
              <w:t xml:space="preserve">0.05</w:t>
            </w:r>
          </w:p>
        </w:tc>
      </w:tr>
      <w:tr>
        <w:tc>
          <w:tcPr>
            <w:tcMar>
              <w:top w:w="20" w:type="dxa"/>
              <w:bottom w:w="20" w:type="dxa"/>
              <w:left w:w="40" w:type="dxa"/>
              <w:right w:w="40" w:type="dxa"/>
            </w:tcMar>
          </w:tcPr>
          <w:p>
            <w:pPr>
              <w:spacing w:after="0" w:line="240" w:lineRule="auto"/>
            </w:pPr>
            <w:r>
              <w:rPr>
                <w:sz w:val="16"/>
                <w:szCs w:val="16"/>
              </w:rPr>
              <w:t xml:space="preserve">DEU</w:t>
            </w:r>
          </w:p>
        </w:tc>
        <w:tc>
          <w:tcPr>
            <w:tcMar>
              <w:top w:w="20" w:type="dxa"/>
              <w:bottom w:w="20" w:type="dxa"/>
              <w:left w:w="40" w:type="dxa"/>
              <w:right w:w="40" w:type="dxa"/>
            </w:tcMar>
          </w:tcPr>
          <w:p>
            <w:pPr>
              <w:spacing w:after="0" w:line="240" w:lineRule="auto"/>
            </w:pPr>
            <w:r>
              <w:rPr>
                <w:sz w:val="16"/>
                <w:szCs w:val="16"/>
              </w:rPr>
              <w:t xml:space="preserve">2599</w:t>
            </w:r>
          </w:p>
        </w:tc>
        <w:tc>
          <w:tcPr>
            <w:tcMar>
              <w:top w:w="20" w:type="dxa"/>
              <w:bottom w:w="20" w:type="dxa"/>
              <w:left w:w="40" w:type="dxa"/>
              <w:right w:w="40" w:type="dxa"/>
            </w:tcMar>
          </w:tcPr>
          <w:p>
            <w:pPr>
              <w:spacing w:after="0" w:line="240" w:lineRule="auto"/>
            </w:pPr>
            <w:r>
              <w:rPr>
                <w:sz w:val="16"/>
                <w:szCs w:val="16"/>
              </w:rPr>
              <w:t xml:space="preserve">1.49</w:t>
            </w:r>
          </w:p>
        </w:tc>
      </w:tr>
      <w:tr>
        <w:tc>
          <w:tcPr>
            <w:tcMar>
              <w:top w:w="20" w:type="dxa"/>
              <w:bottom w:w="20" w:type="dxa"/>
              <w:left w:w="40" w:type="dxa"/>
              <w:right w:w="40" w:type="dxa"/>
            </w:tcMar>
          </w:tcPr>
          <w:p>
            <w:pPr>
              <w:spacing w:after="0" w:line="240" w:lineRule="auto"/>
            </w:pPr>
            <w:r>
              <w:rPr>
                <w:sz w:val="16"/>
                <w:szCs w:val="16"/>
              </w:rPr>
              <w:t xml:space="preserve">DNK</w:t>
            </w:r>
          </w:p>
        </w:tc>
        <w:tc>
          <w:tcPr>
            <w:tcMar>
              <w:top w:w="20" w:type="dxa"/>
              <w:bottom w:w="20" w:type="dxa"/>
              <w:left w:w="40" w:type="dxa"/>
              <w:right w:w="40" w:type="dxa"/>
            </w:tcMar>
          </w:tcPr>
          <w:p>
            <w:pPr>
              <w:spacing w:after="0" w:line="240" w:lineRule="auto"/>
            </w:pPr>
            <w:r>
              <w:rPr>
                <w:sz w:val="16"/>
                <w:szCs w:val="16"/>
              </w:rPr>
              <w:t xml:space="preserve">911</w:t>
            </w:r>
          </w:p>
        </w:tc>
        <w:tc>
          <w:tcPr>
            <w:tcMar>
              <w:top w:w="20" w:type="dxa"/>
              <w:bottom w:w="20" w:type="dxa"/>
              <w:left w:w="40" w:type="dxa"/>
              <w:right w:w="40" w:type="dxa"/>
            </w:tcMar>
          </w:tcPr>
          <w:p>
            <w:pPr>
              <w:spacing w:after="0" w:line="240" w:lineRule="auto"/>
            </w:pPr>
            <w:r>
              <w:rPr>
                <w:sz w:val="16"/>
                <w:szCs w:val="16"/>
              </w:rPr>
              <w:t xml:space="preserve">0.52</w:t>
            </w:r>
          </w:p>
        </w:tc>
      </w:tr>
      <w:tr>
        <w:tc>
          <w:tcPr>
            <w:tcMar>
              <w:top w:w="20" w:type="dxa"/>
              <w:bottom w:w="20" w:type="dxa"/>
              <w:left w:w="40" w:type="dxa"/>
              <w:right w:w="40" w:type="dxa"/>
            </w:tcMar>
          </w:tcPr>
          <w:p>
            <w:pPr>
              <w:spacing w:after="0" w:line="240" w:lineRule="auto"/>
            </w:pPr>
            <w:r>
              <w:rPr>
                <w:sz w:val="16"/>
                <w:szCs w:val="16"/>
              </w:rPr>
              <w:t xml:space="preserve">EGY</w:t>
            </w:r>
          </w:p>
        </w:tc>
        <w:tc>
          <w:tcPr>
            <w:tcMar>
              <w:top w:w="20" w:type="dxa"/>
              <w:bottom w:w="20" w:type="dxa"/>
              <w:left w:w="40" w:type="dxa"/>
              <w:right w:w="40" w:type="dxa"/>
            </w:tcMar>
          </w:tcPr>
          <w:p>
            <w:pPr>
              <w:spacing w:after="0" w:line="240" w:lineRule="auto"/>
            </w:pPr>
            <w:r>
              <w:rPr>
                <w:sz w:val="16"/>
                <w:szCs w:val="16"/>
              </w:rPr>
              <w:t xml:space="preserve">592</w:t>
            </w:r>
          </w:p>
        </w:tc>
        <w:tc>
          <w:tcPr>
            <w:tcMar>
              <w:top w:w="20" w:type="dxa"/>
              <w:bottom w:w="20" w:type="dxa"/>
              <w:left w:w="40" w:type="dxa"/>
              <w:right w:w="40" w:type="dxa"/>
            </w:tcMar>
          </w:tcPr>
          <w:p>
            <w:pPr>
              <w:spacing w:after="0" w:line="240" w:lineRule="auto"/>
            </w:pPr>
            <w:r>
              <w:rPr>
                <w:sz w:val="16"/>
                <w:szCs w:val="16"/>
              </w:rPr>
              <w:t xml:space="preserve">0.34</w:t>
            </w:r>
          </w:p>
        </w:tc>
      </w:tr>
      <w:tr>
        <w:tc>
          <w:tcPr>
            <w:tcMar>
              <w:top w:w="20" w:type="dxa"/>
              <w:bottom w:w="20" w:type="dxa"/>
              <w:left w:w="40" w:type="dxa"/>
              <w:right w:w="40" w:type="dxa"/>
            </w:tcMar>
          </w:tcPr>
          <w:p>
            <w:pPr>
              <w:spacing w:after="0" w:line="240" w:lineRule="auto"/>
            </w:pPr>
            <w:r>
              <w:rPr>
                <w:sz w:val="16"/>
                <w:szCs w:val="16"/>
              </w:rPr>
              <w:t xml:space="preserve">ESP</w:t>
            </w:r>
          </w:p>
        </w:tc>
        <w:tc>
          <w:tcPr>
            <w:tcMar>
              <w:top w:w="20" w:type="dxa"/>
              <w:bottom w:w="20" w:type="dxa"/>
              <w:left w:w="40" w:type="dxa"/>
              <w:right w:w="40" w:type="dxa"/>
            </w:tcMar>
          </w:tcPr>
          <w:p>
            <w:pPr>
              <w:spacing w:after="0" w:line="240" w:lineRule="auto"/>
            </w:pPr>
            <w:r>
              <w:rPr>
                <w:sz w:val="16"/>
                <w:szCs w:val="16"/>
              </w:rPr>
              <w:t xml:space="preserve">1095</w:t>
            </w:r>
          </w:p>
        </w:tc>
        <w:tc>
          <w:tcPr>
            <w:tcMar>
              <w:top w:w="20" w:type="dxa"/>
              <w:bottom w:w="20" w:type="dxa"/>
              <w:left w:w="40" w:type="dxa"/>
              <w:right w:w="40" w:type="dxa"/>
            </w:tcMar>
          </w:tcPr>
          <w:p>
            <w:pPr>
              <w:spacing w:after="0" w:line="240" w:lineRule="auto"/>
            </w:pPr>
            <w:r>
              <w:rPr>
                <w:sz w:val="16"/>
                <w:szCs w:val="16"/>
              </w:rPr>
              <w:t xml:space="preserve">0.63</w:t>
            </w:r>
          </w:p>
        </w:tc>
      </w:tr>
      <w:tr>
        <w:tc>
          <w:tcPr>
            <w:tcMar>
              <w:top w:w="20" w:type="dxa"/>
              <w:bottom w:w="20" w:type="dxa"/>
              <w:left w:w="40" w:type="dxa"/>
              <w:right w:w="40" w:type="dxa"/>
            </w:tcMar>
          </w:tcPr>
          <w:p>
            <w:pPr>
              <w:spacing w:after="0" w:line="240" w:lineRule="auto"/>
            </w:pPr>
            <w:r>
              <w:rPr>
                <w:sz w:val="16"/>
                <w:szCs w:val="16"/>
              </w:rPr>
              <w:t xml:space="preserve">FIN</w:t>
            </w:r>
          </w:p>
        </w:tc>
        <w:tc>
          <w:tcPr>
            <w:tcMar>
              <w:top w:w="20" w:type="dxa"/>
              <w:bottom w:w="20" w:type="dxa"/>
              <w:left w:w="40" w:type="dxa"/>
              <w:right w:w="40" w:type="dxa"/>
            </w:tcMar>
          </w:tcPr>
          <w:p>
            <w:pPr>
              <w:spacing w:after="0" w:line="240" w:lineRule="auto"/>
            </w:pPr>
            <w:r>
              <w:rPr>
                <w:sz w:val="16"/>
                <w:szCs w:val="16"/>
              </w:rPr>
              <w:t xml:space="preserve">1196</w:t>
            </w:r>
          </w:p>
        </w:tc>
        <w:tc>
          <w:tcPr>
            <w:tcMar>
              <w:top w:w="20" w:type="dxa"/>
              <w:bottom w:w="20" w:type="dxa"/>
              <w:left w:w="40" w:type="dxa"/>
              <w:right w:w="40" w:type="dxa"/>
            </w:tcMar>
          </w:tcPr>
          <w:p>
            <w:pPr>
              <w:spacing w:after="0" w:line="240" w:lineRule="auto"/>
            </w:pPr>
            <w:r>
              <w:rPr>
                <w:sz w:val="16"/>
                <w:szCs w:val="16"/>
              </w:rPr>
              <w:t xml:space="preserve">0.69</w:t>
            </w:r>
          </w:p>
        </w:tc>
      </w:tr>
      <w:tr>
        <w:tc>
          <w:tcPr>
            <w:tcMar>
              <w:top w:w="20" w:type="dxa"/>
              <w:bottom w:w="20" w:type="dxa"/>
              <w:left w:w="40" w:type="dxa"/>
              <w:right w:w="40" w:type="dxa"/>
            </w:tcMar>
          </w:tcPr>
          <w:p>
            <w:pPr>
              <w:spacing w:after="0" w:line="240" w:lineRule="auto"/>
            </w:pPr>
            <w:r>
              <w:rPr>
                <w:sz w:val="16"/>
                <w:szCs w:val="16"/>
              </w:rPr>
              <w:t xml:space="preserve">FRA</w:t>
            </w:r>
          </w:p>
        </w:tc>
        <w:tc>
          <w:tcPr>
            <w:tcMar>
              <w:top w:w="20" w:type="dxa"/>
              <w:bottom w:w="20" w:type="dxa"/>
              <w:left w:w="40" w:type="dxa"/>
              <w:right w:w="40" w:type="dxa"/>
            </w:tcMar>
          </w:tcPr>
          <w:p>
            <w:pPr>
              <w:spacing w:after="0" w:line="240" w:lineRule="auto"/>
            </w:pPr>
            <w:r>
              <w:rPr>
                <w:sz w:val="16"/>
                <w:szCs w:val="16"/>
              </w:rPr>
              <w:t xml:space="preserve">2515</w:t>
            </w:r>
          </w:p>
        </w:tc>
        <w:tc>
          <w:tcPr>
            <w:tcMar>
              <w:top w:w="20" w:type="dxa"/>
              <w:bottom w:w="20" w:type="dxa"/>
              <w:left w:w="40" w:type="dxa"/>
              <w:right w:w="40" w:type="dxa"/>
            </w:tcMar>
          </w:tcPr>
          <w:p>
            <w:pPr>
              <w:spacing w:after="0" w:line="240" w:lineRule="auto"/>
            </w:pPr>
            <w:r>
              <w:rPr>
                <w:sz w:val="16"/>
                <w:szCs w:val="16"/>
              </w:rPr>
              <w:t xml:space="preserve">1.44</w:t>
            </w:r>
          </w:p>
        </w:tc>
      </w:tr>
      <w:tr>
        <w:tc>
          <w:tcPr>
            <w:tcMar>
              <w:top w:w="20" w:type="dxa"/>
              <w:bottom w:w="20" w:type="dxa"/>
              <w:left w:w="40" w:type="dxa"/>
              <w:right w:w="40" w:type="dxa"/>
            </w:tcMar>
          </w:tcPr>
          <w:p>
            <w:pPr>
              <w:spacing w:after="0" w:line="240" w:lineRule="auto"/>
            </w:pPr>
            <w:r>
              <w:rPr>
                <w:sz w:val="16"/>
                <w:szCs w:val="16"/>
              </w:rPr>
              <w:t xml:space="preserve">GBR</w:t>
            </w:r>
          </w:p>
        </w:tc>
        <w:tc>
          <w:tcPr>
            <w:tcMar>
              <w:top w:w="20" w:type="dxa"/>
              <w:bottom w:w="20" w:type="dxa"/>
              <w:left w:w="40" w:type="dxa"/>
              <w:right w:w="40" w:type="dxa"/>
            </w:tcMar>
          </w:tcPr>
          <w:p>
            <w:pPr>
              <w:spacing w:after="0" w:line="240" w:lineRule="auto"/>
            </w:pPr>
            <w:r>
              <w:rPr>
                <w:sz w:val="16"/>
                <w:szCs w:val="16"/>
              </w:rPr>
              <w:t xml:space="preserve">4510</w:t>
            </w:r>
          </w:p>
        </w:tc>
        <w:tc>
          <w:tcPr>
            <w:tcMar>
              <w:top w:w="20" w:type="dxa"/>
              <w:bottom w:w="20" w:type="dxa"/>
              <w:left w:w="40" w:type="dxa"/>
              <w:right w:w="40" w:type="dxa"/>
            </w:tcMar>
          </w:tcPr>
          <w:p>
            <w:pPr>
              <w:spacing w:after="0" w:line="240" w:lineRule="auto"/>
            </w:pPr>
            <w:r>
              <w:rPr>
                <w:sz w:val="16"/>
                <w:szCs w:val="16"/>
              </w:rPr>
              <w:t xml:space="preserve">2.59</w:t>
            </w:r>
          </w:p>
        </w:tc>
      </w:tr>
      <w:tr>
        <w:tc>
          <w:tcPr>
            <w:tcMar>
              <w:top w:w="20" w:type="dxa"/>
              <w:bottom w:w="20" w:type="dxa"/>
              <w:left w:w="40" w:type="dxa"/>
              <w:right w:w="40" w:type="dxa"/>
            </w:tcMar>
          </w:tcPr>
          <w:p>
            <w:pPr>
              <w:spacing w:after="0" w:line="240" w:lineRule="auto"/>
            </w:pPr>
            <w:r>
              <w:rPr>
                <w:sz w:val="16"/>
                <w:szCs w:val="16"/>
              </w:rPr>
              <w:t xml:space="preserve">GRC</w:t>
            </w:r>
          </w:p>
        </w:tc>
        <w:tc>
          <w:tcPr>
            <w:tcMar>
              <w:top w:w="20" w:type="dxa"/>
              <w:bottom w:w="20" w:type="dxa"/>
              <w:left w:w="40" w:type="dxa"/>
              <w:right w:w="40" w:type="dxa"/>
            </w:tcMar>
          </w:tcPr>
          <w:p>
            <w:pPr>
              <w:spacing w:after="0" w:line="240" w:lineRule="auto"/>
            </w:pPr>
            <w:r>
              <w:rPr>
                <w:sz w:val="16"/>
                <w:szCs w:val="16"/>
              </w:rPr>
              <w:t xml:space="preserve">658</w:t>
            </w:r>
          </w:p>
        </w:tc>
        <w:tc>
          <w:tcPr>
            <w:tcMar>
              <w:top w:w="20" w:type="dxa"/>
              <w:bottom w:w="20" w:type="dxa"/>
              <w:left w:w="40" w:type="dxa"/>
              <w:right w:w="40" w:type="dxa"/>
            </w:tcMar>
          </w:tcPr>
          <w:p>
            <w:pPr>
              <w:spacing w:after="0" w:line="240" w:lineRule="auto"/>
            </w:pPr>
            <w:r>
              <w:rPr>
                <w:sz w:val="16"/>
                <w:szCs w:val="16"/>
              </w:rPr>
              <w:t xml:space="preserve">0.38</w:t>
            </w:r>
          </w:p>
        </w:tc>
      </w:tr>
      <w:tr>
        <w:tc>
          <w:tcPr>
            <w:tcMar>
              <w:top w:w="20" w:type="dxa"/>
              <w:bottom w:w="20" w:type="dxa"/>
              <w:left w:w="40" w:type="dxa"/>
              <w:right w:w="40" w:type="dxa"/>
            </w:tcMar>
          </w:tcPr>
          <w:p>
            <w:pPr>
              <w:spacing w:after="0" w:line="240" w:lineRule="auto"/>
            </w:pPr>
            <w:r>
              <w:rPr>
                <w:sz w:val="16"/>
                <w:szCs w:val="16"/>
              </w:rPr>
              <w:t xml:space="preserve">HKG</w:t>
            </w:r>
          </w:p>
        </w:tc>
        <w:tc>
          <w:tcPr>
            <w:tcMar>
              <w:top w:w="20" w:type="dxa"/>
              <w:bottom w:w="20" w:type="dxa"/>
              <w:left w:w="40" w:type="dxa"/>
              <w:right w:w="40" w:type="dxa"/>
            </w:tcMar>
          </w:tcPr>
          <w:p>
            <w:pPr>
              <w:spacing w:after="0" w:line="240" w:lineRule="auto"/>
            </w:pPr>
            <w:r>
              <w:rPr>
                <w:sz w:val="16"/>
                <w:szCs w:val="16"/>
              </w:rPr>
              <w:t xml:space="preserve">9956</w:t>
            </w:r>
          </w:p>
        </w:tc>
        <w:tc>
          <w:tcPr>
            <w:tcMar>
              <w:top w:w="20" w:type="dxa"/>
              <w:bottom w:w="20" w:type="dxa"/>
              <w:left w:w="40" w:type="dxa"/>
              <w:right w:w="40" w:type="dxa"/>
            </w:tcMar>
          </w:tcPr>
          <w:p>
            <w:pPr>
              <w:spacing w:after="0" w:line="240" w:lineRule="auto"/>
            </w:pPr>
            <w:r>
              <w:rPr>
                <w:sz w:val="16"/>
                <w:szCs w:val="16"/>
              </w:rPr>
              <w:t xml:space="preserve">5.72</w:t>
            </w:r>
          </w:p>
        </w:tc>
      </w:tr>
      <w:tr>
        <w:tc>
          <w:tcPr>
            <w:tcMar>
              <w:top w:w="20" w:type="dxa"/>
              <w:bottom w:w="20" w:type="dxa"/>
              <w:left w:w="40" w:type="dxa"/>
              <w:right w:w="40" w:type="dxa"/>
            </w:tcMar>
          </w:tcPr>
          <w:p>
            <w:pPr>
              <w:spacing w:after="0" w:line="240" w:lineRule="auto"/>
            </w:pPr>
            <w:r>
              <w:rPr>
                <w:sz w:val="16"/>
                <w:szCs w:val="16"/>
              </w:rPr>
              <w:t xml:space="preserve">HUN</w:t>
            </w:r>
          </w:p>
        </w:tc>
        <w:tc>
          <w:tcPr>
            <w:tcMar>
              <w:top w:w="20" w:type="dxa"/>
              <w:bottom w:w="20" w:type="dxa"/>
              <w:left w:w="40" w:type="dxa"/>
              <w:right w:w="40" w:type="dxa"/>
            </w:tcMar>
          </w:tcPr>
          <w:p>
            <w:pPr>
              <w:spacing w:after="0" w:line="240" w:lineRule="auto"/>
            </w:pPr>
            <w:r>
              <w:rPr>
                <w:sz w:val="16"/>
                <w:szCs w:val="16"/>
              </w:rPr>
              <w:t xml:space="preserve">163</w:t>
            </w:r>
          </w:p>
        </w:tc>
        <w:tc>
          <w:tcPr>
            <w:tcMar>
              <w:top w:w="20" w:type="dxa"/>
              <w:bottom w:w="20" w:type="dxa"/>
              <w:left w:w="40" w:type="dxa"/>
              <w:right w:w="40" w:type="dxa"/>
            </w:tcMar>
          </w:tcPr>
          <w:p>
            <w:pPr>
              <w:spacing w:after="0" w:line="240" w:lineRule="auto"/>
            </w:pPr>
            <w:r>
              <w:rPr>
                <w:sz w:val="16"/>
                <w:szCs w:val="16"/>
              </w:rPr>
              <w:t xml:space="preserve">0.09</w:t>
            </w:r>
          </w:p>
        </w:tc>
      </w:tr>
      <w:tr>
        <w:tc>
          <w:tcPr>
            <w:tcMar>
              <w:top w:w="20" w:type="dxa"/>
              <w:bottom w:w="20" w:type="dxa"/>
              <w:left w:w="40" w:type="dxa"/>
              <w:right w:w="40" w:type="dxa"/>
            </w:tcMar>
          </w:tcPr>
          <w:p>
            <w:pPr>
              <w:spacing w:after="0" w:line="240" w:lineRule="auto"/>
            </w:pPr>
            <w:r>
              <w:rPr>
                <w:sz w:val="16"/>
                <w:szCs w:val="16"/>
              </w:rPr>
              <w:t xml:space="preserve">IDN</w:t>
            </w:r>
          </w:p>
        </w:tc>
        <w:tc>
          <w:tcPr>
            <w:tcMar>
              <w:top w:w="20" w:type="dxa"/>
              <w:bottom w:w="20" w:type="dxa"/>
              <w:left w:w="40" w:type="dxa"/>
              <w:right w:w="40" w:type="dxa"/>
            </w:tcMar>
          </w:tcPr>
          <w:p>
            <w:pPr>
              <w:spacing w:after="0" w:line="240" w:lineRule="auto"/>
            </w:pPr>
            <w:r>
              <w:rPr>
                <w:sz w:val="16"/>
                <w:szCs w:val="16"/>
              </w:rPr>
              <w:t xml:space="preserve">2607</w:t>
            </w:r>
          </w:p>
        </w:tc>
        <w:tc>
          <w:tcPr>
            <w:tcMar>
              <w:top w:w="20" w:type="dxa"/>
              <w:bottom w:w="20" w:type="dxa"/>
              <w:left w:w="40" w:type="dxa"/>
              <w:right w:w="40" w:type="dxa"/>
            </w:tcMar>
          </w:tcPr>
          <w:p>
            <w:pPr>
              <w:spacing w:after="0" w:line="240" w:lineRule="auto"/>
            </w:pPr>
            <w:r>
              <w:rPr>
                <w:sz w:val="16"/>
                <w:szCs w:val="16"/>
              </w:rPr>
              <w:t xml:space="preserve">1.50</w:t>
            </w:r>
          </w:p>
        </w:tc>
      </w:tr>
      <w:tr>
        <w:tc>
          <w:tcPr>
            <w:tcMar>
              <w:top w:w="20" w:type="dxa"/>
              <w:bottom w:w="20" w:type="dxa"/>
              <w:left w:w="40" w:type="dxa"/>
              <w:right w:w="40" w:type="dxa"/>
            </w:tcMar>
          </w:tcPr>
          <w:p>
            <w:pPr>
              <w:spacing w:after="0" w:line="240" w:lineRule="auto"/>
            </w:pPr>
            <w:r>
              <w:rPr>
                <w:sz w:val="16"/>
                <w:szCs w:val="16"/>
              </w:rPr>
              <w:t xml:space="preserve">IND</w:t>
            </w:r>
          </w:p>
        </w:tc>
        <w:tc>
          <w:tcPr>
            <w:tcMar>
              <w:top w:w="20" w:type="dxa"/>
              <w:bottom w:w="20" w:type="dxa"/>
              <w:left w:w="40" w:type="dxa"/>
              <w:right w:w="40" w:type="dxa"/>
            </w:tcMar>
          </w:tcPr>
          <w:p>
            <w:pPr>
              <w:spacing w:after="0" w:line="240" w:lineRule="auto"/>
            </w:pPr>
            <w:r>
              <w:rPr>
                <w:sz w:val="16"/>
                <w:szCs w:val="16"/>
              </w:rPr>
              <w:t xml:space="preserve">16973</w:t>
            </w:r>
          </w:p>
        </w:tc>
        <w:tc>
          <w:tcPr>
            <w:tcMar>
              <w:top w:w="20" w:type="dxa"/>
              <w:bottom w:w="20" w:type="dxa"/>
              <w:left w:w="40" w:type="dxa"/>
              <w:right w:w="40" w:type="dxa"/>
            </w:tcMar>
          </w:tcPr>
          <w:p>
            <w:pPr>
              <w:spacing w:after="0" w:line="240" w:lineRule="auto"/>
            </w:pPr>
            <w:r>
              <w:rPr>
                <w:sz w:val="16"/>
                <w:szCs w:val="16"/>
              </w:rPr>
              <w:t xml:space="preserve">9.75</w:t>
            </w:r>
          </w:p>
        </w:tc>
      </w:tr>
      <w:tr>
        <w:tc>
          <w:tcPr>
            <w:tcMar>
              <w:top w:w="20" w:type="dxa"/>
              <w:bottom w:w="20" w:type="dxa"/>
              <w:left w:w="40" w:type="dxa"/>
              <w:right w:w="40" w:type="dxa"/>
            </w:tcMar>
          </w:tcPr>
          <w:p>
            <w:pPr>
              <w:spacing w:after="0" w:line="240" w:lineRule="auto"/>
            </w:pPr>
            <w:r>
              <w:rPr>
                <w:sz w:val="16"/>
                <w:szCs w:val="16"/>
              </w:rPr>
              <w:t xml:space="preserve">IRL</w:t>
            </w:r>
          </w:p>
        </w:tc>
        <w:tc>
          <w:tcPr>
            <w:tcMar>
              <w:top w:w="20" w:type="dxa"/>
              <w:bottom w:w="20" w:type="dxa"/>
              <w:left w:w="40" w:type="dxa"/>
              <w:right w:w="40" w:type="dxa"/>
            </w:tcMar>
          </w:tcPr>
          <w:p>
            <w:pPr>
              <w:spacing w:after="0" w:line="240" w:lineRule="auto"/>
            </w:pPr>
            <w:r>
              <w:rPr>
                <w:sz w:val="16"/>
                <w:szCs w:val="16"/>
              </w:rPr>
              <w:t xml:space="preserve">205</w:t>
            </w:r>
          </w:p>
        </w:tc>
        <w:tc>
          <w:tcPr>
            <w:tcMar>
              <w:top w:w="20" w:type="dxa"/>
              <w:bottom w:w="20" w:type="dxa"/>
              <w:left w:w="40" w:type="dxa"/>
              <w:right w:w="40" w:type="dxa"/>
            </w:tcMar>
          </w:tcPr>
          <w:p>
            <w:pPr>
              <w:spacing w:after="0" w:line="240" w:lineRule="auto"/>
            </w:pPr>
            <w:r>
              <w:rPr>
                <w:sz w:val="16"/>
                <w:szCs w:val="16"/>
              </w:rPr>
              <w:t xml:space="preserve">0.12</w:t>
            </w:r>
          </w:p>
        </w:tc>
      </w:tr>
      <w:tr>
        <w:tc>
          <w:tcPr>
            <w:tcMar>
              <w:top w:w="20" w:type="dxa"/>
              <w:bottom w:w="20" w:type="dxa"/>
              <w:left w:w="40" w:type="dxa"/>
              <w:right w:w="40" w:type="dxa"/>
            </w:tcMar>
          </w:tcPr>
          <w:p>
            <w:pPr>
              <w:spacing w:after="0" w:line="240" w:lineRule="auto"/>
            </w:pPr>
            <w:r>
              <w:rPr>
                <w:sz w:val="16"/>
                <w:szCs w:val="16"/>
              </w:rPr>
              <w:t xml:space="preserve">ITA</w:t>
            </w:r>
          </w:p>
        </w:tc>
        <w:tc>
          <w:tcPr>
            <w:tcMar>
              <w:top w:w="20" w:type="dxa"/>
              <w:bottom w:w="20" w:type="dxa"/>
              <w:left w:w="40" w:type="dxa"/>
              <w:right w:w="40" w:type="dxa"/>
            </w:tcMar>
          </w:tcPr>
          <w:p>
            <w:pPr>
              <w:spacing w:after="0" w:line="240" w:lineRule="auto"/>
            </w:pPr>
            <w:r>
              <w:rPr>
                <w:sz w:val="16"/>
                <w:szCs w:val="16"/>
              </w:rPr>
              <w:t xml:space="preserve">1716</w:t>
            </w:r>
          </w:p>
        </w:tc>
        <w:tc>
          <w:tcPr>
            <w:tcMar>
              <w:top w:w="20" w:type="dxa"/>
              <w:bottom w:w="20" w:type="dxa"/>
              <w:left w:w="40" w:type="dxa"/>
              <w:right w:w="40" w:type="dxa"/>
            </w:tcMar>
          </w:tcPr>
          <w:p>
            <w:pPr>
              <w:spacing w:after="0" w:line="240" w:lineRule="auto"/>
            </w:pPr>
            <w:r>
              <w:rPr>
                <w:sz w:val="16"/>
                <w:szCs w:val="16"/>
              </w:rPr>
              <w:t xml:space="preserve">0.99</w:t>
            </w:r>
          </w:p>
        </w:tc>
      </w:tr>
      <w:tr>
        <w:tc>
          <w:tcPr>
            <w:tcMar>
              <w:top w:w="20" w:type="dxa"/>
              <w:bottom w:w="20" w:type="dxa"/>
              <w:left w:w="40" w:type="dxa"/>
              <w:right w:w="40" w:type="dxa"/>
            </w:tcMar>
          </w:tcPr>
          <w:p>
            <w:pPr>
              <w:spacing w:after="0" w:line="240" w:lineRule="auto"/>
            </w:pPr>
            <w:r>
              <w:rPr>
                <w:sz w:val="16"/>
                <w:szCs w:val="16"/>
              </w:rPr>
              <w:t xml:space="preserve">JPN</w:t>
            </w:r>
          </w:p>
        </w:tc>
        <w:tc>
          <w:tcPr>
            <w:tcMar>
              <w:top w:w="20" w:type="dxa"/>
              <w:bottom w:w="20" w:type="dxa"/>
              <w:left w:w="40" w:type="dxa"/>
              <w:right w:w="40" w:type="dxa"/>
            </w:tcMar>
          </w:tcPr>
          <w:p>
            <w:pPr>
              <w:spacing w:after="0" w:line="240" w:lineRule="auto"/>
            </w:pPr>
            <w:r>
              <w:rPr>
                <w:sz w:val="16"/>
                <w:szCs w:val="16"/>
              </w:rPr>
              <w:t xml:space="preserve">29145</w:t>
            </w:r>
          </w:p>
        </w:tc>
        <w:tc>
          <w:tcPr>
            <w:tcMar>
              <w:top w:w="20" w:type="dxa"/>
              <w:bottom w:w="20" w:type="dxa"/>
              <w:left w:w="40" w:type="dxa"/>
              <w:right w:w="40" w:type="dxa"/>
            </w:tcMar>
          </w:tcPr>
          <w:p>
            <w:pPr>
              <w:spacing w:after="0" w:line="240" w:lineRule="auto"/>
            </w:pPr>
            <w:r>
              <w:rPr>
                <w:sz w:val="16"/>
                <w:szCs w:val="16"/>
              </w:rPr>
              <w:t xml:space="preserve">16.74</w:t>
            </w:r>
          </w:p>
        </w:tc>
      </w:tr>
      <w:tr>
        <w:tc>
          <w:tcPr>
            <w:tcMar>
              <w:top w:w="20" w:type="dxa"/>
              <w:bottom w:w="20" w:type="dxa"/>
              <w:left w:w="40" w:type="dxa"/>
              <w:right w:w="40" w:type="dxa"/>
            </w:tcMar>
          </w:tcPr>
          <w:p>
            <w:pPr>
              <w:spacing w:after="0" w:line="240" w:lineRule="auto"/>
            </w:pPr>
            <w:r>
              <w:rPr>
                <w:sz w:val="16"/>
                <w:szCs w:val="16"/>
              </w:rPr>
              <w:t xml:space="preserve">KOR</w:t>
            </w:r>
          </w:p>
        </w:tc>
        <w:tc>
          <w:tcPr>
            <w:tcMar>
              <w:top w:w="20" w:type="dxa"/>
              <w:bottom w:w="20" w:type="dxa"/>
              <w:left w:w="40" w:type="dxa"/>
              <w:right w:w="40" w:type="dxa"/>
            </w:tcMar>
          </w:tcPr>
          <w:p>
            <w:pPr>
              <w:spacing w:after="0" w:line="240" w:lineRule="auto"/>
            </w:pPr>
            <w:r>
              <w:rPr>
                <w:sz w:val="16"/>
                <w:szCs w:val="16"/>
              </w:rPr>
              <w:t xml:space="preserve">13855</w:t>
            </w:r>
          </w:p>
        </w:tc>
        <w:tc>
          <w:tcPr>
            <w:tcMar>
              <w:top w:w="20" w:type="dxa"/>
              <w:bottom w:w="20" w:type="dxa"/>
              <w:left w:w="40" w:type="dxa"/>
              <w:right w:w="40" w:type="dxa"/>
            </w:tcMar>
          </w:tcPr>
          <w:p>
            <w:pPr>
              <w:spacing w:after="0" w:line="240" w:lineRule="auto"/>
            </w:pPr>
            <w:r>
              <w:rPr>
                <w:sz w:val="16"/>
                <w:szCs w:val="16"/>
              </w:rPr>
              <w:t xml:space="preserve">7.96</w:t>
            </w:r>
          </w:p>
        </w:tc>
      </w:tr>
      <w:tr>
        <w:tc>
          <w:tcPr>
            <w:tcMar>
              <w:top w:w="20" w:type="dxa"/>
              <w:bottom w:w="20" w:type="dxa"/>
              <w:left w:w="40" w:type="dxa"/>
              <w:right w:w="40" w:type="dxa"/>
            </w:tcMar>
          </w:tcPr>
          <w:p>
            <w:pPr>
              <w:spacing w:after="0" w:line="240" w:lineRule="auto"/>
            </w:pPr>
            <w:r>
              <w:rPr>
                <w:sz w:val="16"/>
                <w:szCs w:val="16"/>
              </w:rPr>
              <w:t xml:space="preserve">KWT</w:t>
            </w:r>
          </w:p>
        </w:tc>
        <w:tc>
          <w:tcPr>
            <w:tcMar>
              <w:top w:w="20" w:type="dxa"/>
              <w:bottom w:w="20" w:type="dxa"/>
              <w:left w:w="40" w:type="dxa"/>
              <w:right w:w="40" w:type="dxa"/>
            </w:tcMar>
          </w:tcPr>
          <w:p>
            <w:pPr>
              <w:spacing w:after="0" w:line="240" w:lineRule="auto"/>
            </w:pPr>
            <w:r>
              <w:rPr>
                <w:sz w:val="16"/>
                <w:szCs w:val="16"/>
              </w:rPr>
              <w:t xml:space="preserve">1008</w:t>
            </w:r>
          </w:p>
        </w:tc>
        <w:tc>
          <w:tcPr>
            <w:tcMar>
              <w:top w:w="20" w:type="dxa"/>
              <w:bottom w:w="20" w:type="dxa"/>
              <w:left w:w="40" w:type="dxa"/>
              <w:right w:w="40" w:type="dxa"/>
            </w:tcMar>
          </w:tcPr>
          <w:p>
            <w:pPr>
              <w:spacing w:after="0" w:line="240" w:lineRule="auto"/>
            </w:pPr>
            <w:r>
              <w:rPr>
                <w:sz w:val="16"/>
                <w:szCs w:val="16"/>
              </w:rPr>
              <w:t xml:space="preserve">0.58</w:t>
            </w:r>
          </w:p>
        </w:tc>
      </w:tr>
      <w:tr>
        <w:tc>
          <w:tcPr>
            <w:tcMar>
              <w:top w:w="20" w:type="dxa"/>
              <w:bottom w:w="20" w:type="dxa"/>
              <w:left w:w="40" w:type="dxa"/>
              <w:right w:w="40" w:type="dxa"/>
            </w:tcMar>
          </w:tcPr>
          <w:p>
            <w:pPr>
              <w:spacing w:after="0" w:line="240" w:lineRule="auto"/>
            </w:pPr>
            <w:r>
              <w:rPr>
                <w:sz w:val="16"/>
                <w:szCs w:val="16"/>
              </w:rPr>
              <w:t xml:space="preserve">MAR</w:t>
            </w:r>
          </w:p>
        </w:tc>
        <w:tc>
          <w:tcPr>
            <w:tcMar>
              <w:top w:w="20" w:type="dxa"/>
              <w:bottom w:w="20" w:type="dxa"/>
              <w:left w:w="40" w:type="dxa"/>
              <w:right w:w="40" w:type="dxa"/>
            </w:tcMar>
          </w:tcPr>
          <w:p>
            <w:pPr>
              <w:spacing w:after="0" w:line="240" w:lineRule="auto"/>
            </w:pPr>
            <w:r>
              <w:rPr>
                <w:sz w:val="16"/>
                <w:szCs w:val="16"/>
              </w:rPr>
              <w:t xml:space="preserve">593</w:t>
            </w:r>
          </w:p>
        </w:tc>
        <w:tc>
          <w:tcPr>
            <w:tcMar>
              <w:top w:w="20" w:type="dxa"/>
              <w:bottom w:w="20" w:type="dxa"/>
              <w:left w:w="40" w:type="dxa"/>
              <w:right w:w="40" w:type="dxa"/>
            </w:tcMar>
          </w:tcPr>
          <w:p>
            <w:pPr>
              <w:spacing w:after="0" w:line="240" w:lineRule="auto"/>
            </w:pPr>
            <w:r>
              <w:rPr>
                <w:sz w:val="16"/>
                <w:szCs w:val="16"/>
              </w:rPr>
              <w:t xml:space="preserve">0.34</w:t>
            </w:r>
          </w:p>
        </w:tc>
      </w:tr>
      <w:tr>
        <w:tc>
          <w:tcPr>
            <w:tcMar>
              <w:top w:w="20" w:type="dxa"/>
              <w:bottom w:w="20" w:type="dxa"/>
              <w:left w:w="40" w:type="dxa"/>
              <w:right w:w="40" w:type="dxa"/>
            </w:tcMar>
          </w:tcPr>
          <w:p>
            <w:pPr>
              <w:spacing w:after="0" w:line="240" w:lineRule="auto"/>
            </w:pPr>
            <w:r>
              <w:rPr>
                <w:sz w:val="16"/>
                <w:szCs w:val="16"/>
              </w:rPr>
              <w:t xml:space="preserve">MEX</w:t>
            </w:r>
          </w:p>
        </w:tc>
        <w:tc>
          <w:tcPr>
            <w:tcMar>
              <w:top w:w="20" w:type="dxa"/>
              <w:bottom w:w="20" w:type="dxa"/>
              <w:left w:w="40" w:type="dxa"/>
              <w:right w:w="40" w:type="dxa"/>
            </w:tcMar>
          </w:tcPr>
          <w:p>
            <w:pPr>
              <w:spacing w:after="0" w:line="240" w:lineRule="auto"/>
            </w:pPr>
            <w:r>
              <w:rPr>
                <w:sz w:val="16"/>
                <w:szCs w:val="16"/>
              </w:rPr>
              <w:t xml:space="preserve">813</w:t>
            </w:r>
          </w:p>
        </w:tc>
        <w:tc>
          <w:tcPr>
            <w:tcMar>
              <w:top w:w="20" w:type="dxa"/>
              <w:bottom w:w="20" w:type="dxa"/>
              <w:left w:w="40" w:type="dxa"/>
              <w:right w:w="40" w:type="dxa"/>
            </w:tcMar>
          </w:tcPr>
          <w:p>
            <w:pPr>
              <w:spacing w:after="0" w:line="240" w:lineRule="auto"/>
            </w:pPr>
            <w:r>
              <w:rPr>
                <w:sz w:val="16"/>
                <w:szCs w:val="16"/>
              </w:rPr>
              <w:t xml:space="preserve">0.47</w:t>
            </w:r>
          </w:p>
        </w:tc>
      </w:tr>
      <w:tr>
        <w:tc>
          <w:tcPr>
            <w:tcMar>
              <w:top w:w="20" w:type="dxa"/>
              <w:bottom w:w="20" w:type="dxa"/>
              <w:left w:w="40" w:type="dxa"/>
              <w:right w:w="40" w:type="dxa"/>
            </w:tcMar>
          </w:tcPr>
          <w:p>
            <w:pPr>
              <w:spacing w:after="0" w:line="240" w:lineRule="auto"/>
            </w:pPr>
            <w:r>
              <w:rPr>
                <w:sz w:val="16"/>
                <w:szCs w:val="16"/>
              </w:rPr>
              <w:t xml:space="preserve">MYS</w:t>
            </w:r>
          </w:p>
        </w:tc>
        <w:tc>
          <w:tcPr>
            <w:tcMar>
              <w:top w:w="20" w:type="dxa"/>
              <w:bottom w:w="20" w:type="dxa"/>
              <w:left w:w="40" w:type="dxa"/>
              <w:right w:w="40" w:type="dxa"/>
            </w:tcMar>
          </w:tcPr>
          <w:p>
            <w:pPr>
              <w:spacing w:after="0" w:line="240" w:lineRule="auto"/>
            </w:pPr>
            <w:r>
              <w:rPr>
                <w:sz w:val="16"/>
                <w:szCs w:val="16"/>
              </w:rPr>
              <w:t xml:space="preserve">3620</w:t>
            </w:r>
          </w:p>
        </w:tc>
        <w:tc>
          <w:tcPr>
            <w:tcMar>
              <w:top w:w="20" w:type="dxa"/>
              <w:bottom w:w="20" w:type="dxa"/>
              <w:left w:w="40" w:type="dxa"/>
              <w:right w:w="40" w:type="dxa"/>
            </w:tcMar>
          </w:tcPr>
          <w:p>
            <w:pPr>
              <w:spacing w:after="0" w:line="240" w:lineRule="auto"/>
            </w:pPr>
            <w:r>
              <w:rPr>
                <w:sz w:val="16"/>
                <w:szCs w:val="16"/>
              </w:rPr>
              <w:t xml:space="preserve">2.08</w:t>
            </w:r>
          </w:p>
        </w:tc>
      </w:tr>
      <w:tr>
        <w:tc>
          <w:tcPr>
            <w:tcMar>
              <w:top w:w="20" w:type="dxa"/>
              <w:bottom w:w="20" w:type="dxa"/>
              <w:left w:w="40" w:type="dxa"/>
              <w:right w:w="40" w:type="dxa"/>
            </w:tcMar>
          </w:tcPr>
          <w:p>
            <w:pPr>
              <w:spacing w:after="0" w:line="240" w:lineRule="auto"/>
            </w:pPr>
            <w:r>
              <w:rPr>
                <w:sz w:val="16"/>
                <w:szCs w:val="16"/>
              </w:rPr>
              <w:t xml:space="preserve">NLD</w:t>
            </w:r>
          </w:p>
        </w:tc>
        <w:tc>
          <w:tcPr>
            <w:tcMar>
              <w:top w:w="20" w:type="dxa"/>
              <w:bottom w:w="20" w:type="dxa"/>
              <w:left w:w="40" w:type="dxa"/>
              <w:right w:w="40" w:type="dxa"/>
            </w:tcMar>
          </w:tcPr>
          <w:p>
            <w:pPr>
              <w:spacing w:after="0" w:line="240" w:lineRule="auto"/>
            </w:pPr>
            <w:r>
              <w:rPr>
                <w:sz w:val="16"/>
                <w:szCs w:val="16"/>
              </w:rPr>
              <w:t xml:space="preserve">762</w:t>
            </w:r>
          </w:p>
        </w:tc>
        <w:tc>
          <w:tcPr>
            <w:tcMar>
              <w:top w:w="20" w:type="dxa"/>
              <w:bottom w:w="20" w:type="dxa"/>
              <w:left w:w="40" w:type="dxa"/>
              <w:right w:w="40" w:type="dxa"/>
            </w:tcMar>
          </w:tcPr>
          <w:p>
            <w:pPr>
              <w:spacing w:after="0" w:line="240" w:lineRule="auto"/>
            </w:pPr>
            <w:r>
              <w:rPr>
                <w:sz w:val="16"/>
                <w:szCs w:val="16"/>
              </w:rPr>
              <w:t xml:space="preserve">0.44</w:t>
            </w:r>
          </w:p>
        </w:tc>
      </w:tr>
      <w:tr>
        <w:tc>
          <w:tcPr>
            <w:tcMar>
              <w:top w:w="20" w:type="dxa"/>
              <w:bottom w:w="20" w:type="dxa"/>
              <w:left w:w="40" w:type="dxa"/>
              <w:right w:w="40" w:type="dxa"/>
            </w:tcMar>
          </w:tcPr>
          <w:p>
            <w:pPr>
              <w:spacing w:after="0" w:line="240" w:lineRule="auto"/>
            </w:pPr>
            <w:r>
              <w:rPr>
                <w:sz w:val="16"/>
                <w:szCs w:val="16"/>
              </w:rPr>
              <w:t xml:space="preserve">NOR</w:t>
            </w:r>
          </w:p>
        </w:tc>
        <w:tc>
          <w:tcPr>
            <w:tcMar>
              <w:top w:w="20" w:type="dxa"/>
              <w:bottom w:w="20" w:type="dxa"/>
              <w:left w:w="40" w:type="dxa"/>
              <w:right w:w="40" w:type="dxa"/>
            </w:tcMar>
          </w:tcPr>
          <w:p>
            <w:pPr>
              <w:spacing w:after="0" w:line="240" w:lineRule="auto"/>
            </w:pPr>
            <w:r>
              <w:rPr>
                <w:sz w:val="16"/>
                <w:szCs w:val="16"/>
              </w:rPr>
              <w:t xml:space="preserve">1766</w:t>
            </w:r>
          </w:p>
        </w:tc>
        <w:tc>
          <w:tcPr>
            <w:tcMar>
              <w:top w:w="20" w:type="dxa"/>
              <w:bottom w:w="20" w:type="dxa"/>
              <w:left w:w="40" w:type="dxa"/>
              <w:right w:w="40" w:type="dxa"/>
            </w:tcMar>
          </w:tcPr>
          <w:p>
            <w:pPr>
              <w:spacing w:after="0" w:line="240" w:lineRule="auto"/>
            </w:pPr>
            <w:r>
              <w:rPr>
                <w:sz w:val="16"/>
                <w:szCs w:val="16"/>
              </w:rPr>
              <w:t xml:space="preserve">1.01</w:t>
            </w:r>
          </w:p>
        </w:tc>
      </w:tr>
      <w:tr>
        <w:tc>
          <w:tcPr>
            <w:tcMar>
              <w:top w:w="20" w:type="dxa"/>
              <w:bottom w:w="20" w:type="dxa"/>
              <w:left w:w="40" w:type="dxa"/>
              <w:right w:w="40" w:type="dxa"/>
            </w:tcMar>
          </w:tcPr>
          <w:p>
            <w:pPr>
              <w:spacing w:after="0" w:line="240" w:lineRule="auto"/>
            </w:pPr>
            <w:r>
              <w:rPr>
                <w:sz w:val="16"/>
                <w:szCs w:val="16"/>
              </w:rPr>
              <w:t xml:space="preserve">NZL</w:t>
            </w:r>
          </w:p>
        </w:tc>
        <w:tc>
          <w:tcPr>
            <w:tcMar>
              <w:top w:w="20" w:type="dxa"/>
              <w:bottom w:w="20" w:type="dxa"/>
              <w:left w:w="40" w:type="dxa"/>
              <w:right w:w="40" w:type="dxa"/>
            </w:tcMar>
          </w:tcPr>
          <w:p>
            <w:pPr>
              <w:spacing w:after="0" w:line="240" w:lineRule="auto"/>
            </w:pPr>
            <w:r>
              <w:rPr>
                <w:sz w:val="16"/>
                <w:szCs w:val="16"/>
              </w:rPr>
              <w:t xml:space="preserve">838</w:t>
            </w:r>
          </w:p>
        </w:tc>
        <w:tc>
          <w:tcPr>
            <w:tcMar>
              <w:top w:w="20" w:type="dxa"/>
              <w:bottom w:w="20" w:type="dxa"/>
              <w:left w:w="40" w:type="dxa"/>
              <w:right w:w="40" w:type="dxa"/>
            </w:tcMar>
          </w:tcPr>
          <w:p>
            <w:pPr>
              <w:spacing w:after="0" w:line="240" w:lineRule="auto"/>
            </w:pPr>
            <w:r>
              <w:rPr>
                <w:sz w:val="16"/>
                <w:szCs w:val="16"/>
              </w:rPr>
              <w:t xml:space="preserve">0.48</w:t>
            </w:r>
          </w:p>
        </w:tc>
      </w:tr>
      <w:tr>
        <w:tc>
          <w:tcPr>
            <w:tcMar>
              <w:top w:w="20" w:type="dxa"/>
              <w:bottom w:w="20" w:type="dxa"/>
              <w:left w:w="40" w:type="dxa"/>
              <w:right w:w="40" w:type="dxa"/>
            </w:tcMar>
          </w:tcPr>
          <w:p>
            <w:pPr>
              <w:spacing w:after="0" w:line="240" w:lineRule="auto"/>
            </w:pPr>
            <w:r>
              <w:rPr>
                <w:sz w:val="16"/>
                <w:szCs w:val="16"/>
              </w:rPr>
              <w:t xml:space="preserve">OMN</w:t>
            </w:r>
          </w:p>
        </w:tc>
        <w:tc>
          <w:tcPr>
            <w:tcMar>
              <w:top w:w="20" w:type="dxa"/>
              <w:bottom w:w="20" w:type="dxa"/>
              <w:left w:w="40" w:type="dxa"/>
              <w:right w:w="40" w:type="dxa"/>
            </w:tcMar>
          </w:tcPr>
          <w:p>
            <w:pPr>
              <w:spacing w:after="0" w:line="240" w:lineRule="auto"/>
            </w:pPr>
            <w:r>
              <w:rPr>
                <w:sz w:val="16"/>
                <w:szCs w:val="16"/>
              </w:rPr>
              <w:t xml:space="preserve">382</w:t>
            </w:r>
          </w:p>
        </w:tc>
        <w:tc>
          <w:tcPr>
            <w:tcMar>
              <w:top w:w="20" w:type="dxa"/>
              <w:bottom w:w="20" w:type="dxa"/>
              <w:left w:w="40" w:type="dxa"/>
              <w:right w:w="40" w:type="dxa"/>
            </w:tcMar>
          </w:tcPr>
          <w:p>
            <w:pPr>
              <w:spacing w:after="0" w:line="240" w:lineRule="auto"/>
            </w:pPr>
            <w:r>
              <w:rPr>
                <w:sz w:val="16"/>
                <w:szCs w:val="16"/>
              </w:rPr>
              <w:t xml:space="preserve">0.22</w:t>
            </w:r>
          </w:p>
        </w:tc>
      </w:tr>
      <w:tr>
        <w:tc>
          <w:tcPr>
            <w:tcMar>
              <w:top w:w="20" w:type="dxa"/>
              <w:bottom w:w="20" w:type="dxa"/>
              <w:left w:w="40" w:type="dxa"/>
              <w:right w:w="40" w:type="dxa"/>
            </w:tcMar>
          </w:tcPr>
          <w:p>
            <w:pPr>
              <w:spacing w:after="0" w:line="240" w:lineRule="auto"/>
            </w:pPr>
            <w:r>
              <w:rPr>
                <w:sz w:val="16"/>
                <w:szCs w:val="16"/>
              </w:rPr>
              <w:t xml:space="preserve">PAK</w:t>
            </w:r>
          </w:p>
        </w:tc>
        <w:tc>
          <w:tcPr>
            <w:tcMar>
              <w:top w:w="20" w:type="dxa"/>
              <w:bottom w:w="20" w:type="dxa"/>
              <w:left w:w="40" w:type="dxa"/>
              <w:right w:w="40" w:type="dxa"/>
            </w:tcMar>
          </w:tcPr>
          <w:p>
            <w:pPr>
              <w:spacing w:after="0" w:line="240" w:lineRule="auto"/>
            </w:pPr>
            <w:r>
              <w:rPr>
                <w:sz w:val="16"/>
                <w:szCs w:val="16"/>
              </w:rPr>
              <w:t xml:space="preserve">896</w:t>
            </w:r>
          </w:p>
        </w:tc>
        <w:tc>
          <w:tcPr>
            <w:tcMar>
              <w:top w:w="20" w:type="dxa"/>
              <w:bottom w:w="20" w:type="dxa"/>
              <w:left w:w="40" w:type="dxa"/>
              <w:right w:w="40" w:type="dxa"/>
            </w:tcMar>
          </w:tcPr>
          <w:p>
            <w:pPr>
              <w:spacing w:after="0" w:line="240" w:lineRule="auto"/>
            </w:pPr>
            <w:r>
              <w:rPr>
                <w:sz w:val="16"/>
                <w:szCs w:val="16"/>
              </w:rPr>
              <w:t xml:space="preserve">0.51</w:t>
            </w:r>
          </w:p>
        </w:tc>
      </w:tr>
      <w:tr>
        <w:tc>
          <w:tcPr>
            <w:tcMar>
              <w:top w:w="20" w:type="dxa"/>
              <w:bottom w:w="20" w:type="dxa"/>
              <w:left w:w="40" w:type="dxa"/>
              <w:right w:w="40" w:type="dxa"/>
            </w:tcMar>
          </w:tcPr>
          <w:p>
            <w:pPr>
              <w:spacing w:after="0" w:line="240" w:lineRule="auto"/>
            </w:pPr>
            <w:r>
              <w:rPr>
                <w:sz w:val="16"/>
                <w:szCs w:val="16"/>
              </w:rPr>
              <w:t xml:space="preserve">PHL</w:t>
            </w:r>
          </w:p>
        </w:tc>
        <w:tc>
          <w:tcPr>
            <w:tcMar>
              <w:top w:w="20" w:type="dxa"/>
              <w:bottom w:w="20" w:type="dxa"/>
              <w:left w:w="40" w:type="dxa"/>
              <w:right w:w="40" w:type="dxa"/>
            </w:tcMar>
          </w:tcPr>
          <w:p>
            <w:pPr>
              <w:spacing w:after="0" w:line="240" w:lineRule="auto"/>
            </w:pPr>
            <w:r>
              <w:rPr>
                <w:sz w:val="16"/>
                <w:szCs w:val="16"/>
              </w:rPr>
              <w:t xml:space="preserve">1340</w:t>
            </w:r>
          </w:p>
        </w:tc>
        <w:tc>
          <w:tcPr>
            <w:tcMar>
              <w:top w:w="20" w:type="dxa"/>
              <w:bottom w:w="20" w:type="dxa"/>
              <w:left w:w="40" w:type="dxa"/>
              <w:right w:w="40" w:type="dxa"/>
            </w:tcMar>
          </w:tcPr>
          <w:p>
            <w:pPr>
              <w:spacing w:after="0" w:line="240" w:lineRule="auto"/>
            </w:pPr>
            <w:r>
              <w:rPr>
                <w:sz w:val="16"/>
                <w:szCs w:val="16"/>
              </w:rPr>
              <w:t xml:space="preserve">0.77</w:t>
            </w:r>
          </w:p>
        </w:tc>
      </w:tr>
      <w:tr>
        <w:tc>
          <w:tcPr>
            <w:tcMar>
              <w:top w:w="20" w:type="dxa"/>
              <w:bottom w:w="20" w:type="dxa"/>
              <w:left w:w="40" w:type="dxa"/>
              <w:right w:w="40" w:type="dxa"/>
            </w:tcMar>
          </w:tcPr>
          <w:p>
            <w:pPr>
              <w:spacing w:after="0" w:line="240" w:lineRule="auto"/>
            </w:pPr>
            <w:r>
              <w:rPr>
                <w:sz w:val="16"/>
                <w:szCs w:val="16"/>
              </w:rPr>
              <w:t xml:space="preserve">POL</w:t>
            </w:r>
          </w:p>
        </w:tc>
        <w:tc>
          <w:tcPr>
            <w:tcMar>
              <w:top w:w="20" w:type="dxa"/>
              <w:bottom w:w="20" w:type="dxa"/>
              <w:left w:w="40" w:type="dxa"/>
              <w:right w:w="40" w:type="dxa"/>
            </w:tcMar>
          </w:tcPr>
          <w:p>
            <w:pPr>
              <w:spacing w:after="0" w:line="240" w:lineRule="auto"/>
            </w:pPr>
            <w:r>
              <w:rPr>
                <w:sz w:val="16"/>
                <w:szCs w:val="16"/>
              </w:rPr>
              <w:t xml:space="preserve">1463</w:t>
            </w:r>
          </w:p>
        </w:tc>
        <w:tc>
          <w:tcPr>
            <w:tcMar>
              <w:top w:w="20" w:type="dxa"/>
              <w:bottom w:w="20" w:type="dxa"/>
              <w:left w:w="40" w:type="dxa"/>
              <w:right w:w="40" w:type="dxa"/>
            </w:tcMar>
          </w:tcPr>
          <w:p>
            <w:pPr>
              <w:spacing w:after="0" w:line="240" w:lineRule="auto"/>
            </w:pPr>
            <w:r>
              <w:rPr>
                <w:sz w:val="16"/>
                <w:szCs w:val="16"/>
              </w:rPr>
              <w:t xml:space="preserve">0.84</w:t>
            </w:r>
          </w:p>
        </w:tc>
      </w:tr>
      <w:tr>
        <w:tc>
          <w:tcPr>
            <w:tcMar>
              <w:top w:w="20" w:type="dxa"/>
              <w:bottom w:w="20" w:type="dxa"/>
              <w:left w:w="40" w:type="dxa"/>
              <w:right w:w="40" w:type="dxa"/>
            </w:tcMar>
          </w:tcPr>
          <w:p>
            <w:pPr>
              <w:spacing w:after="0" w:line="240" w:lineRule="auto"/>
            </w:pPr>
            <w:r>
              <w:rPr>
                <w:sz w:val="16"/>
                <w:szCs w:val="16"/>
              </w:rPr>
              <w:t xml:space="preserve">PRT</w:t>
            </w:r>
          </w:p>
        </w:tc>
        <w:tc>
          <w:tcPr>
            <w:tcMar>
              <w:top w:w="20" w:type="dxa"/>
              <w:bottom w:w="20" w:type="dxa"/>
              <w:left w:w="40" w:type="dxa"/>
              <w:right w:w="40" w:type="dxa"/>
            </w:tcMar>
          </w:tcPr>
          <w:p>
            <w:pPr>
              <w:spacing w:after="0" w:line="240" w:lineRule="auto"/>
            </w:pPr>
            <w:r>
              <w:rPr>
                <w:sz w:val="16"/>
                <w:szCs w:val="16"/>
              </w:rPr>
              <w:t xml:space="preserve">263</w:t>
            </w:r>
          </w:p>
        </w:tc>
        <w:tc>
          <w:tcPr>
            <w:tcMar>
              <w:top w:w="20" w:type="dxa"/>
              <w:bottom w:w="20" w:type="dxa"/>
              <w:left w:w="40" w:type="dxa"/>
              <w:right w:w="40" w:type="dxa"/>
            </w:tcMar>
          </w:tcPr>
          <w:p>
            <w:pPr>
              <w:spacing w:after="0" w:line="240" w:lineRule="auto"/>
            </w:pPr>
            <w:r>
              <w:rPr>
                <w:sz w:val="16"/>
                <w:szCs w:val="16"/>
              </w:rPr>
              <w:t xml:space="preserve">0.15</w:t>
            </w:r>
          </w:p>
        </w:tc>
      </w:tr>
      <w:tr>
        <w:tc>
          <w:tcPr>
            <w:tcMar>
              <w:top w:w="20" w:type="dxa"/>
              <w:bottom w:w="20" w:type="dxa"/>
              <w:left w:w="40" w:type="dxa"/>
              <w:right w:w="40" w:type="dxa"/>
            </w:tcMar>
          </w:tcPr>
          <w:p>
            <w:pPr>
              <w:spacing w:after="0" w:line="240" w:lineRule="auto"/>
            </w:pPr>
            <w:r>
              <w:rPr>
                <w:sz w:val="16"/>
                <w:szCs w:val="16"/>
              </w:rPr>
              <w:t xml:space="preserve">QAT</w:t>
            </w:r>
          </w:p>
        </w:tc>
        <w:tc>
          <w:tcPr>
            <w:tcMar>
              <w:top w:w="20" w:type="dxa"/>
              <w:bottom w:w="20" w:type="dxa"/>
              <w:left w:w="40" w:type="dxa"/>
              <w:right w:w="40" w:type="dxa"/>
            </w:tcMar>
          </w:tcPr>
          <w:p>
            <w:pPr>
              <w:spacing w:after="0" w:line="240" w:lineRule="auto"/>
            </w:pPr>
            <w:r>
              <w:rPr>
                <w:sz w:val="16"/>
                <w:szCs w:val="16"/>
              </w:rPr>
              <w:t xml:space="preserve">665</w:t>
            </w:r>
          </w:p>
        </w:tc>
        <w:tc>
          <w:tcPr>
            <w:tcMar>
              <w:top w:w="20" w:type="dxa"/>
              <w:bottom w:w="20" w:type="dxa"/>
              <w:left w:w="40" w:type="dxa"/>
              <w:right w:w="40" w:type="dxa"/>
            </w:tcMar>
          </w:tcPr>
          <w:p>
            <w:pPr>
              <w:spacing w:after="0" w:line="240" w:lineRule="auto"/>
            </w:pPr>
            <w:r>
              <w:rPr>
                <w:sz w:val="16"/>
                <w:szCs w:val="16"/>
              </w:rPr>
              <w:t xml:space="preserve">0.38</w:t>
            </w:r>
          </w:p>
        </w:tc>
      </w:tr>
      <w:tr>
        <w:tc>
          <w:tcPr>
            <w:tcMar>
              <w:top w:w="20" w:type="dxa"/>
              <w:bottom w:w="20" w:type="dxa"/>
              <w:left w:w="40" w:type="dxa"/>
              <w:right w:w="40" w:type="dxa"/>
            </w:tcMar>
          </w:tcPr>
          <w:p>
            <w:pPr>
              <w:spacing w:after="0" w:line="240" w:lineRule="auto"/>
            </w:pPr>
            <w:r>
              <w:rPr>
                <w:sz w:val="16"/>
                <w:szCs w:val="16"/>
              </w:rPr>
              <w:t xml:space="preserve">RUS</w:t>
            </w:r>
          </w:p>
        </w:tc>
        <w:tc>
          <w:tcPr>
            <w:tcMar>
              <w:top w:w="20" w:type="dxa"/>
              <w:bottom w:w="20" w:type="dxa"/>
              <w:left w:w="40" w:type="dxa"/>
              <w:right w:w="40" w:type="dxa"/>
            </w:tcMar>
          </w:tcPr>
          <w:p>
            <w:pPr>
              <w:spacing w:after="0" w:line="240" w:lineRule="auto"/>
            </w:pPr>
            <w:r>
              <w:rPr>
                <w:sz w:val="16"/>
                <w:szCs w:val="16"/>
              </w:rPr>
              <w:t xml:space="preserve">769</w:t>
            </w:r>
          </w:p>
        </w:tc>
        <w:tc>
          <w:tcPr>
            <w:tcMar>
              <w:top w:w="20" w:type="dxa"/>
              <w:bottom w:w="20" w:type="dxa"/>
              <w:left w:w="40" w:type="dxa"/>
              <w:right w:w="40" w:type="dxa"/>
            </w:tcMar>
          </w:tcPr>
          <w:p>
            <w:pPr>
              <w:spacing w:after="0" w:line="240" w:lineRule="auto"/>
            </w:pPr>
            <w:r>
              <w:rPr>
                <w:sz w:val="16"/>
                <w:szCs w:val="16"/>
              </w:rPr>
              <w:t xml:space="preserve">0.44</w:t>
            </w:r>
          </w:p>
        </w:tc>
      </w:tr>
      <w:tr>
        <w:tc>
          <w:tcPr>
            <w:tcMar>
              <w:top w:w="20" w:type="dxa"/>
              <w:bottom w:w="20" w:type="dxa"/>
              <w:left w:w="40" w:type="dxa"/>
              <w:right w:w="40" w:type="dxa"/>
            </w:tcMar>
          </w:tcPr>
          <w:p>
            <w:pPr>
              <w:spacing w:after="0" w:line="240" w:lineRule="auto"/>
            </w:pPr>
            <w:r>
              <w:rPr>
                <w:sz w:val="16"/>
                <w:szCs w:val="16"/>
              </w:rPr>
              <w:t xml:space="preserve">SAU</w:t>
            </w:r>
          </w:p>
        </w:tc>
        <w:tc>
          <w:tcPr>
            <w:tcMar>
              <w:top w:w="20" w:type="dxa"/>
              <w:bottom w:w="20" w:type="dxa"/>
              <w:left w:w="40" w:type="dxa"/>
              <w:right w:w="40" w:type="dxa"/>
            </w:tcMar>
          </w:tcPr>
          <w:p>
            <w:pPr>
              <w:spacing w:after="0" w:line="240" w:lineRule="auto"/>
            </w:pPr>
            <w:r>
              <w:rPr>
                <w:sz w:val="16"/>
                <w:szCs w:val="16"/>
              </w:rPr>
              <w:t xml:space="preserve">2768</w:t>
            </w:r>
          </w:p>
        </w:tc>
        <w:tc>
          <w:tcPr>
            <w:tcMar>
              <w:top w:w="20" w:type="dxa"/>
              <w:bottom w:w="20" w:type="dxa"/>
              <w:left w:w="40" w:type="dxa"/>
              <w:right w:w="40" w:type="dxa"/>
            </w:tcMar>
          </w:tcPr>
          <w:p>
            <w:pPr>
              <w:spacing w:after="0" w:line="240" w:lineRule="auto"/>
            </w:pPr>
            <w:r>
              <w:rPr>
                <w:sz w:val="16"/>
                <w:szCs w:val="16"/>
              </w:rPr>
              <w:t xml:space="preserve">1.59</w:t>
            </w:r>
          </w:p>
        </w:tc>
      </w:tr>
      <w:tr>
        <w:tc>
          <w:tcPr>
            <w:tcMar>
              <w:top w:w="20" w:type="dxa"/>
              <w:bottom w:w="20" w:type="dxa"/>
              <w:left w:w="40" w:type="dxa"/>
              <w:right w:w="40" w:type="dxa"/>
            </w:tcMar>
          </w:tcPr>
          <w:p>
            <w:pPr>
              <w:spacing w:after="0" w:line="240" w:lineRule="auto"/>
            </w:pPr>
            <w:r>
              <w:rPr>
                <w:sz w:val="16"/>
                <w:szCs w:val="16"/>
              </w:rPr>
              <w:t xml:space="preserve">SGP</w:t>
            </w:r>
          </w:p>
        </w:tc>
        <w:tc>
          <w:tcPr>
            <w:tcMar>
              <w:top w:w="20" w:type="dxa"/>
              <w:bottom w:w="20" w:type="dxa"/>
              <w:left w:w="40" w:type="dxa"/>
              <w:right w:w="40" w:type="dxa"/>
            </w:tcMar>
          </w:tcPr>
          <w:p>
            <w:pPr>
              <w:spacing w:after="0" w:line="240" w:lineRule="auto"/>
            </w:pPr>
            <w:r>
              <w:rPr>
                <w:sz w:val="16"/>
                <w:szCs w:val="16"/>
              </w:rPr>
              <w:t xml:space="preserve">2121</w:t>
            </w:r>
          </w:p>
        </w:tc>
        <w:tc>
          <w:tcPr>
            <w:tcMar>
              <w:top w:w="20" w:type="dxa"/>
              <w:bottom w:w="20" w:type="dxa"/>
              <w:left w:w="40" w:type="dxa"/>
              <w:right w:w="40" w:type="dxa"/>
            </w:tcMar>
          </w:tcPr>
          <w:p>
            <w:pPr>
              <w:spacing w:after="0" w:line="240" w:lineRule="auto"/>
            </w:pPr>
            <w:r>
              <w:rPr>
                <w:sz w:val="16"/>
                <w:szCs w:val="16"/>
              </w:rPr>
              <w:t xml:space="preserve">1.22</w:t>
            </w:r>
          </w:p>
        </w:tc>
      </w:tr>
      <w:tr>
        <w:tc>
          <w:tcPr>
            <w:tcMar>
              <w:top w:w="20" w:type="dxa"/>
              <w:bottom w:w="20" w:type="dxa"/>
              <w:left w:w="40" w:type="dxa"/>
              <w:right w:w="40" w:type="dxa"/>
            </w:tcMar>
          </w:tcPr>
          <w:p>
            <w:pPr>
              <w:spacing w:after="0" w:line="240" w:lineRule="auto"/>
            </w:pPr>
            <w:r>
              <w:rPr>
                <w:sz w:val="16"/>
                <w:szCs w:val="16"/>
              </w:rPr>
              <w:t xml:space="preserve">SWE</w:t>
            </w:r>
          </w:p>
        </w:tc>
        <w:tc>
          <w:tcPr>
            <w:tcMar>
              <w:top w:w="20" w:type="dxa"/>
              <w:bottom w:w="20" w:type="dxa"/>
              <w:left w:w="40" w:type="dxa"/>
              <w:right w:w="40" w:type="dxa"/>
            </w:tcMar>
          </w:tcPr>
          <w:p>
            <w:pPr>
              <w:spacing w:after="0" w:line="240" w:lineRule="auto"/>
            </w:pPr>
            <w:r>
              <w:rPr>
                <w:sz w:val="16"/>
                <w:szCs w:val="16"/>
              </w:rPr>
              <w:t xml:space="preserve">3960</w:t>
            </w:r>
          </w:p>
        </w:tc>
        <w:tc>
          <w:tcPr>
            <w:tcMar>
              <w:top w:w="20" w:type="dxa"/>
              <w:bottom w:w="20" w:type="dxa"/>
              <w:left w:w="40" w:type="dxa"/>
              <w:right w:w="40" w:type="dxa"/>
            </w:tcMar>
          </w:tcPr>
          <w:p>
            <w:pPr>
              <w:spacing w:after="0" w:line="240" w:lineRule="auto"/>
            </w:pPr>
            <w:r>
              <w:rPr>
                <w:sz w:val="16"/>
                <w:szCs w:val="16"/>
              </w:rPr>
              <w:t xml:space="preserve">2.28</w:t>
            </w:r>
          </w:p>
        </w:tc>
      </w:tr>
      <w:tr>
        <w:tc>
          <w:tcPr>
            <w:tcMar>
              <w:top w:w="20" w:type="dxa"/>
              <w:bottom w:w="20" w:type="dxa"/>
              <w:left w:w="40" w:type="dxa"/>
              <w:right w:w="40" w:type="dxa"/>
            </w:tcMar>
          </w:tcPr>
          <w:p>
            <w:pPr>
              <w:spacing w:after="0" w:line="240" w:lineRule="auto"/>
            </w:pPr>
            <w:r>
              <w:rPr>
                <w:sz w:val="16"/>
                <w:szCs w:val="16"/>
              </w:rPr>
              <w:t xml:space="preserve">THA</w:t>
            </w:r>
          </w:p>
        </w:tc>
        <w:tc>
          <w:tcPr>
            <w:tcMar>
              <w:top w:w="20" w:type="dxa"/>
              <w:bottom w:w="20" w:type="dxa"/>
              <w:left w:w="40" w:type="dxa"/>
              <w:right w:w="40" w:type="dxa"/>
            </w:tcMar>
          </w:tcPr>
          <w:p>
            <w:pPr>
              <w:spacing w:after="0" w:line="240" w:lineRule="auto"/>
            </w:pPr>
            <w:r>
              <w:rPr>
                <w:sz w:val="16"/>
                <w:szCs w:val="16"/>
              </w:rPr>
              <w:t xml:space="preserve">2936</w:t>
            </w:r>
          </w:p>
        </w:tc>
        <w:tc>
          <w:tcPr>
            <w:tcMar>
              <w:top w:w="20" w:type="dxa"/>
              <w:bottom w:w="20" w:type="dxa"/>
              <w:left w:w="40" w:type="dxa"/>
              <w:right w:w="40" w:type="dxa"/>
            </w:tcMar>
          </w:tcPr>
          <w:p>
            <w:pPr>
              <w:spacing w:after="0" w:line="240" w:lineRule="auto"/>
            </w:pPr>
            <w:r>
              <w:rPr>
                <w:sz w:val="16"/>
                <w:szCs w:val="16"/>
              </w:rPr>
              <w:t xml:space="preserve">1.69</w:t>
            </w:r>
          </w:p>
        </w:tc>
      </w:tr>
      <w:tr>
        <w:tc>
          <w:tcPr>
            <w:tcMar>
              <w:top w:w="20" w:type="dxa"/>
              <w:bottom w:w="20" w:type="dxa"/>
              <w:left w:w="40" w:type="dxa"/>
              <w:right w:w="40" w:type="dxa"/>
            </w:tcMar>
          </w:tcPr>
          <w:p>
            <w:pPr>
              <w:spacing w:after="0" w:line="240" w:lineRule="auto"/>
            </w:pPr>
            <w:r>
              <w:rPr>
                <w:sz w:val="16"/>
                <w:szCs w:val="16"/>
              </w:rPr>
              <w:t xml:space="preserve">TUR</w:t>
            </w:r>
          </w:p>
        </w:tc>
        <w:tc>
          <w:tcPr>
            <w:tcMar>
              <w:top w:w="20" w:type="dxa"/>
              <w:bottom w:w="20" w:type="dxa"/>
              <w:left w:w="40" w:type="dxa"/>
              <w:right w:w="40" w:type="dxa"/>
            </w:tcMar>
          </w:tcPr>
          <w:p>
            <w:pPr>
              <w:spacing w:after="0" w:line="240" w:lineRule="auto"/>
            </w:pPr>
            <w:r>
              <w:rPr>
                <w:sz w:val="16"/>
                <w:szCs w:val="16"/>
              </w:rPr>
              <w:t xml:space="preserve">2720</w:t>
            </w:r>
          </w:p>
        </w:tc>
        <w:tc>
          <w:tcPr>
            <w:tcMar>
              <w:top w:w="20" w:type="dxa"/>
              <w:bottom w:w="20" w:type="dxa"/>
              <w:left w:w="40" w:type="dxa"/>
              <w:right w:w="40" w:type="dxa"/>
            </w:tcMar>
          </w:tcPr>
          <w:p>
            <w:pPr>
              <w:spacing w:after="0" w:line="240" w:lineRule="auto"/>
            </w:pPr>
            <w:r>
              <w:rPr>
                <w:sz w:val="16"/>
                <w:szCs w:val="16"/>
              </w:rPr>
              <w:t xml:space="preserve">1.56</w:t>
            </w:r>
          </w:p>
        </w:tc>
      </w:tr>
      <w:tr>
        <w:tc>
          <w:tcPr>
            <w:tcMar>
              <w:top w:w="20" w:type="dxa"/>
              <w:bottom w:w="20" w:type="dxa"/>
              <w:left w:w="40" w:type="dxa"/>
              <w:right w:w="40" w:type="dxa"/>
            </w:tcMar>
          </w:tcPr>
          <w:p>
            <w:pPr>
              <w:spacing w:after="0" w:line="240" w:lineRule="auto"/>
            </w:pPr>
            <w:r>
              <w:rPr>
                <w:sz w:val="16"/>
                <w:szCs w:val="16"/>
              </w:rPr>
              <w:t xml:space="preserve">TWN</w:t>
            </w:r>
          </w:p>
        </w:tc>
        <w:tc>
          <w:tcPr>
            <w:tcMar>
              <w:top w:w="20" w:type="dxa"/>
              <w:bottom w:w="20" w:type="dxa"/>
              <w:left w:w="40" w:type="dxa"/>
              <w:right w:w="40" w:type="dxa"/>
            </w:tcMar>
          </w:tcPr>
          <w:p>
            <w:pPr>
              <w:spacing w:after="0" w:line="240" w:lineRule="auto"/>
            </w:pPr>
            <w:r>
              <w:rPr>
                <w:sz w:val="16"/>
                <w:szCs w:val="16"/>
              </w:rPr>
              <w:t xml:space="preserve">9144</w:t>
            </w:r>
          </w:p>
        </w:tc>
        <w:tc>
          <w:tcPr>
            <w:tcMar>
              <w:top w:w="20" w:type="dxa"/>
              <w:bottom w:w="20" w:type="dxa"/>
              <w:left w:w="40" w:type="dxa"/>
              <w:right w:w="40" w:type="dxa"/>
            </w:tcMar>
          </w:tcPr>
          <w:p>
            <w:pPr>
              <w:spacing w:after="0" w:line="240" w:lineRule="auto"/>
            </w:pPr>
            <w:r>
              <w:rPr>
                <w:sz w:val="16"/>
                <w:szCs w:val="16"/>
              </w:rPr>
              <w:t xml:space="preserve">5.25</w:t>
            </w:r>
          </w:p>
        </w:tc>
      </w:tr>
      <w:tr>
        <w:tc>
          <w:tcPr>
            <w:tcMar>
              <w:top w:w="20" w:type="dxa"/>
              <w:bottom w:w="20" w:type="dxa"/>
              <w:left w:w="40" w:type="dxa"/>
              <w:right w:w="40" w:type="dxa"/>
            </w:tcMar>
          </w:tcPr>
          <w:p>
            <w:pPr>
              <w:spacing w:after="0" w:line="240" w:lineRule="auto"/>
            </w:pPr>
            <w:r>
              <w:rPr>
                <w:sz w:val="16"/>
                <w:szCs w:val="16"/>
              </w:rPr>
              <w:t xml:space="preserve">USA</w:t>
            </w:r>
          </w:p>
        </w:tc>
        <w:tc>
          <w:tcPr>
            <w:tcMar>
              <w:top w:w="20" w:type="dxa"/>
              <w:bottom w:w="20" w:type="dxa"/>
              <w:left w:w="40" w:type="dxa"/>
              <w:right w:w="40" w:type="dxa"/>
            </w:tcMar>
          </w:tcPr>
          <w:p>
            <w:pPr>
              <w:spacing w:after="0" w:line="240" w:lineRule="auto"/>
            </w:pPr>
            <w:r>
              <w:rPr>
                <w:sz w:val="16"/>
                <w:szCs w:val="16"/>
              </w:rPr>
              <w:t xml:space="preserve">9182</w:t>
            </w:r>
          </w:p>
        </w:tc>
        <w:tc>
          <w:tcPr>
            <w:tcMar>
              <w:top w:w="20" w:type="dxa"/>
              <w:bottom w:w="20" w:type="dxa"/>
              <w:left w:w="40" w:type="dxa"/>
              <w:right w:w="40" w:type="dxa"/>
            </w:tcMar>
          </w:tcPr>
          <w:p>
            <w:pPr>
              <w:spacing w:after="0" w:line="240" w:lineRule="auto"/>
            </w:pPr>
            <w:r>
              <w:rPr>
                <w:sz w:val="16"/>
                <w:szCs w:val="16"/>
              </w:rPr>
              <w:t xml:space="preserve">5.28</w:t>
            </w:r>
          </w:p>
        </w:tc>
      </w:tr>
      <w:tr>
        <w:tc>
          <w:tcPr>
            <w:tcMar>
              <w:top w:w="20" w:type="dxa"/>
              <w:bottom w:w="20" w:type="dxa"/>
              <w:left w:w="40" w:type="dxa"/>
              <w:right w:w="40" w:type="dxa"/>
            </w:tcMar>
          </w:tcPr>
          <w:p>
            <w:pPr>
              <w:spacing w:after="0" w:line="240" w:lineRule="auto"/>
            </w:pPr>
            <w:r>
              <w:rPr>
                <w:sz w:val="16"/>
                <w:szCs w:val="16"/>
              </w:rPr>
              <w:t xml:space="preserve">VNM</w:t>
            </w:r>
          </w:p>
        </w:tc>
        <w:tc>
          <w:tcPr>
            <w:tcMar>
              <w:top w:w="20" w:type="dxa"/>
              <w:bottom w:w="20" w:type="dxa"/>
              <w:left w:w="40" w:type="dxa"/>
              <w:right w:w="40" w:type="dxa"/>
            </w:tcMar>
          </w:tcPr>
          <w:p>
            <w:pPr>
              <w:spacing w:after="0" w:line="240" w:lineRule="auto"/>
            </w:pPr>
            <w:r>
              <w:rPr>
                <w:sz w:val="16"/>
                <w:szCs w:val="16"/>
              </w:rPr>
              <w:t xml:space="preserve">1587</w:t>
            </w:r>
          </w:p>
        </w:tc>
        <w:tc>
          <w:tcPr>
            <w:tcMar>
              <w:top w:w="20" w:type="dxa"/>
              <w:bottom w:w="20" w:type="dxa"/>
              <w:left w:w="40" w:type="dxa"/>
              <w:right w:w="40" w:type="dxa"/>
            </w:tcMar>
          </w:tcPr>
          <w:p>
            <w:pPr>
              <w:spacing w:after="0" w:line="240" w:lineRule="auto"/>
            </w:pPr>
            <w:r>
              <w:rPr>
                <w:sz w:val="16"/>
                <w:szCs w:val="16"/>
              </w:rPr>
              <w:t xml:space="preserve">0.91</w:t>
            </w:r>
          </w:p>
        </w:tc>
      </w:tr>
      <w:tr>
        <w:tc>
          <w:tcPr>
            <w:tcMar>
              <w:top w:w="20" w:type="dxa"/>
              <w:bottom w:w="20" w:type="dxa"/>
              <w:left w:w="40" w:type="dxa"/>
              <w:right w:w="40" w:type="dxa"/>
            </w:tcMar>
          </w:tcPr>
          <w:p>
            <w:pPr>
              <w:spacing w:after="0" w:line="240" w:lineRule="auto"/>
            </w:pPr>
            <w:r>
              <w:rPr>
                <w:sz w:val="16"/>
                <w:szCs w:val="16"/>
              </w:rPr>
              <w:t xml:space="preserve">ZAF</w:t>
            </w:r>
          </w:p>
        </w:tc>
        <w:tc>
          <w:tcPr>
            <w:tcMar>
              <w:top w:w="20" w:type="dxa"/>
              <w:bottom w:w="20" w:type="dxa"/>
              <w:left w:w="40" w:type="dxa"/>
              <w:right w:w="40" w:type="dxa"/>
            </w:tcMar>
          </w:tcPr>
          <w:p>
            <w:pPr>
              <w:spacing w:after="0" w:line="240" w:lineRule="auto"/>
            </w:pPr>
            <w:r>
              <w:rPr>
                <w:sz w:val="16"/>
                <w:szCs w:val="16"/>
              </w:rPr>
              <w:t xml:space="preserve">1497</w:t>
            </w:r>
          </w:p>
        </w:tc>
        <w:tc>
          <w:tcPr>
            <w:tcMar>
              <w:top w:w="20" w:type="dxa"/>
              <w:bottom w:w="20" w:type="dxa"/>
              <w:left w:w="40" w:type="dxa"/>
              <w:right w:w="40" w:type="dxa"/>
            </w:tcMar>
          </w:tcPr>
          <w:p>
            <w:pPr>
              <w:spacing w:after="0" w:line="240" w:lineRule="auto"/>
            </w:pPr>
            <w:r>
              <w:rPr>
                <w:sz w:val="16"/>
                <w:szCs w:val="16"/>
              </w:rPr>
              <w:t xml:space="preserve">0.86</w:t>
            </w:r>
          </w:p>
        </w:tc>
      </w:tr>
      <w:tr>
        <w:tc>
          <w:tcPr>
            <w:tcMar>
              <w:top w:w="20" w:type="dxa"/>
              <w:bottom w:w="20" w:type="dxa"/>
              <w:left w:w="40" w:type="dxa"/>
              <w:right w:w="40" w:type="dxa"/>
            </w:tcMar>
          </w:tcPr>
          <w:p>
            <w:pPr>
              <w:spacing w:after="0" w:line="240" w:lineRule="auto"/>
            </w:pPr>
            <w:r>
              <w:rPr>
                <w:sz w:val="16"/>
                <w:szCs w:val="16"/>
              </w:rPr>
              <w:t xml:space="preserve">Total</w:t>
            </w:r>
          </w:p>
        </w:tc>
        <w:tc>
          <w:tcPr>
            <w:tcMar>
              <w:top w:w="20" w:type="dxa"/>
              <w:bottom w:w="20" w:type="dxa"/>
              <w:left w:w="40" w:type="dxa"/>
              <w:right w:w="40" w:type="dxa"/>
            </w:tcMar>
          </w:tcPr>
          <w:p>
            <w:pPr>
              <w:spacing w:after="0" w:line="240" w:lineRule="auto"/>
            </w:pPr>
            <w:r>
              <w:rPr>
                <w:sz w:val="16"/>
                <w:szCs w:val="16"/>
              </w:rPr>
              <w:t xml:space="preserve">174056</w:t>
            </w:r>
          </w:p>
        </w:tc>
        <w:tc>
          <w:tcPr>
            <w:tcMar>
              <w:top w:w="20" w:type="dxa"/>
              <w:bottom w:w="20" w:type="dxa"/>
              <w:left w:w="40" w:type="dxa"/>
              <w:right w:w="40" w:type="dxa"/>
            </w:tcMar>
          </w:tcPr>
          <w:p>
            <w:pPr>
              <w:spacing w:after="0" w:line="240" w:lineRule="auto"/>
            </w:pPr>
            <w:r>
              <w:rPr>
                <w:sz w:val="16"/>
                <w:szCs w:val="16"/>
              </w:rPr>
              <w:t xml:space="preserve">100.00</w:t>
            </w:r>
          </w:p>
        </w:tc>
      </w:tr>
    </w:tbl>
    <w:p>
      <w:pPr>
        <w:spacing w:after="0"/>
      </w:pPr>
    </w:p>
    <w:p>
      <w:pPr>
        <w:spacing w:after="20" w:line="276" w:lineRule="auto"/>
      </w:pPr>
      <w:r>
        <w:rPr>
          <w:i/>
          <w:sz w:val="16"/>
          <w:szCs w:val="16"/>
        </w:rPr>
        <w:t xml:space="preserve">Firm-year observations with non-missing green innovation, rule of law and Paris status, 2007-2025.</w:t>
      </w:r>
    </w:p>
    <w:p>
      <w:pPr>
        <w:spacing w:after="60" w:line="276" w:lineRule="auto"/>
      </w:pPr>
      <w:r>
        <w:t xml:space="preserve"/>
      </w:r>
    </w:p>
    <w:p>
      <w:pPr>
        <w:jc w:val="both"/>
        <w:spacing w:after="120" w:line="276" w:lineRule="auto"/>
      </w:pPr>
      <w:r>
        <w:t xml:space="preserve">Coverage of the key variables is uneven, as is typical of large cross-country datasets that combine firm financial records with third-party sustainability scores (Berg et al., 2022; Christensen et al., 2021). The environmental-innovation score is available for 67,841 firm-years and the rule-of-law estimate for 152,467; the estimation samples are therefore considerably smaller than the full panel and vary by specification. Each regression reports its own number of observations, ranging from roughly 4,400 in the narrow legal-origin window to about 26,000 in the wider milestone windows, reflecting the intersection of non-missing green-innovation, institutional, and firm-control data within each window.</w:t>
      </w:r>
    </w:p>
    <w:p>
      <w:pPr>
        <w:jc w:val="both"/>
        <w:spacing w:after="120" w:line="276" w:lineRule="auto"/>
      </w:pPr>
      <w:r>
        <w:t xml:space="preserve">Firm-level green-innovation and environmental-disclosure measures, ESG and governance-pillar scores, and board independence are drawn from the Refinitiv, now LSEG, ESG database, as are standard financial characteristics. Country-level institutional quality is measured using the World Bank Worldwide Governance Indicators, principally the rule-of-law estimate, with the regulatory-quality, control-of-corruption, and government-effectiveness estimates reserved for robustness checks (Kaufmann et al., 2011). Paris-Agreement timing is verified against the ratification and entry-into-force records of the United Nations Treaty Collection and the UNFCCC; because ratifications cluster tightly around 2016, the treatment is operationalized as a common post-2015 indicator rather than as country-specific ratification timing. Legal origin, common versus civil law, is coded following the legal-origins literature (La Porta et al., 2008).</w:t>
      </w:r>
    </w:p>
    <w:p>
      <w:pPr>
        <w:spacing w:before="160" w:after="100"/>
      </w:pPr>
      <w:r>
        <w:rPr>
          <w:b/>
          <w:i/>
          <w:sz w:val="24"/>
          <w:szCs w:val="24"/>
        </w:rPr>
        <w:t xml:space="preserve">3.2 Variables</w:t>
      </w:r>
    </w:p>
    <w:p>
      <w:pPr>
        <w:jc w:val="both"/>
        <w:spacing w:after="120" w:line="276" w:lineRule="auto"/>
      </w:pPr>
      <w:r>
        <w:t xml:space="preserve">The empirical strategy rests on separating two firm responses that the literature frequently bundles into a single sustainability metric (Berg et al., 2022; Hawn &amp; Ioannou, 2016). The first dependent variable, substantive green innovation, is a 0 to 100 environmental-innovation score, complemented by a binary indicator of any green innovation used in robustness tests; score-based and patent-based measures of green innovation are both standard, and prior work has used each to test whether environmental ratings track real innovative output (Cohen et al., 2020; Yang et al., 2024). The second dependent variable, symbolic environmental disclosure, captures the firm's communicated environmental commitments and reporting. Holding these two outcomes apart is the analytical core of the paper, since the first reflects costly, operationally embedded change whereas the second reflects comparatively low-cost, discretionary communication (Cho et al., 2015; Lyon &amp; Maxwell, 2011).</w:t>
      </w:r>
    </w:p>
    <w:p>
      <w:pPr>
        <w:jc w:val="both"/>
        <w:spacing w:after="120" w:line="276" w:lineRule="auto"/>
      </w:pPr>
      <w:r>
        <w:t xml:space="preserve">The principal moderator, strong rule of law, equals one for firms in countries in the top tertile of the average Worldwide Governance Indicators rule-of-law estimate, the standard cross-country measure of legal-institutional quality (Kaufmann et al., 2011). The second moderator, common-law origin, indicates firms domiciled in common-law jurisdictions (La Porta et al., 2008). Post-Paris equals one for the years from 2016 onward. Firm-level controls follow standard practice in the environmental-disclosure and green-innovation literatures: firm size, the natural logarithm of total assets, leverage, return on assets, a loss indicator, the market-to-book ratio, board independence, the governance pillar score, and the overall ESG score; firm age enters the descriptive analysis. Across these literatures, firm size, profitability, leverage, and governance quality are routine determinants of both reporting and innovation (Aguinis &amp; Glavas, 2012; Berrone &amp; Gomez-Mejia, 2009; Berrone et al., 2013; Clarkson et al., 2008; Flammer, 2013). All continuous firm variables are winsorized at the first and ninety-ninth percentiles to limit the influence of outliers.</w:t>
      </w:r>
    </w:p>
    <w:p>
      <w:pPr>
        <w:jc w:val="both"/>
        <w:spacing w:after="120" w:line="276" w:lineRule="auto"/>
      </w:pPr>
      <w:r>
        <w:t xml:space="preserve">A measurement caveat applies to both outcomes. The environmental-innovation score and the environmental-disclosure measure are constructed by a commercial provider from public corporate information and, though widely used, capture disclosed activity rather than independently audited outcomes (Berg et al., 2022). This limitation is common to large cross-country studies and is mitigated here by the within-firm design, which differences out time-invariant provider-specific biases, and by the focus on the relative response of innovation versus disclosure rather than on their absolute levels.</w:t>
      </w:r>
    </w:p>
    <w:p>
      <w:pPr>
        <w:spacing w:before="160" w:after="100"/>
      </w:pPr>
      <w:r>
        <w:rPr>
          <w:b/>
          <w:i/>
          <w:sz w:val="24"/>
          <w:szCs w:val="24"/>
        </w:rPr>
        <w:t xml:space="preserve">3.3 Model specification</w:t>
      </w:r>
    </w:p>
    <w:p>
      <w:pPr>
        <w:jc w:val="both"/>
        <w:spacing w:after="120" w:line="276" w:lineRule="auto"/>
      </w:pPr>
      <w:r>
        <w:t xml:space="preserve">The empirical design is a difference-in-differences specification that interacts a common post-treaty indicator with a time-invariant institutional characteristic, estimated separately for the substantive and symbolic outcomes, in the spirit of recent work that uses such designs to identify the green-innovation effects of climate policy across countries (Bettarelli et al., 2025). The baseline rule-of-law model is given in Equation (1):</w:t>
      </w:r>
    </w:p>
    <w:p>
      <w:pPr>
        <w:jc w:val="center"/>
        <w:spacing w:after="120" w:line="276" w:lineRule="auto"/>
      </w:pPr>
      <w:r>
        <w:rPr>
          <w:i/>
        </w:rPr>
        <w:t xml:space="preserve">Y_it = alpha_i + lambda_t + beta1 (Post_t x StrongRoL_c) + gamma'X_it + epsilon_it     (1)</w:t>
      </w:r>
    </w:p>
    <w:p>
      <w:pPr>
        <w:jc w:val="both"/>
        <w:spacing w:after="120" w:line="276" w:lineRule="auto"/>
      </w:pPr>
      <w:r>
        <w:t xml:space="preserve">where Y_it is the outcome, green innovation or environmental disclosure, for firm i in year t; Post_t equals one for the years from 2016 onward; StrongRoL_c equals one for firms in country c in the top tertile of average rule of law; X_it is the vector of firm controls; alpha_i and lambda_t are firm and year fixed effects; and epsilon_it is the error term. Standard errors are clustered by firm, in line with standard practice for panel difference-in-differences estimation, where clustering guards against the serial correlation that otherwise understates standard errors (Bertrand et al., 2004; Petersen, 2009). The coefficient of interest, beta1, compares the post-Paris change in the outcome for firms in strong versus weaker rule-of-law settings, net of any common time shock and time-invariant firm heterogeneity.</w:t>
      </w:r>
    </w:p>
    <w:p>
      <w:pPr>
        <w:jc w:val="both"/>
        <w:spacing w:after="120" w:line="276" w:lineRule="auto"/>
      </w:pPr>
      <w:r>
        <w:t xml:space="preserve">The legal-origin model, Equation (2), replaces the rule-of-law moderator with the common-law indicator:</w:t>
      </w:r>
    </w:p>
    <w:p>
      <w:pPr>
        <w:jc w:val="center"/>
        <w:spacing w:after="120" w:line="276" w:lineRule="auto"/>
      </w:pPr>
      <w:r>
        <w:rPr>
          <w:i/>
        </w:rPr>
        <w:t xml:space="preserve">Y_it = alpha_i + lambda_t + beta2 (Post_t x CommonLaw_c) + gamma'X_it + epsilon_it     (2)</w:t>
      </w:r>
    </w:p>
    <w:p>
      <w:pPr>
        <w:jc w:val="both"/>
        <w:spacing w:after="120" w:line="276" w:lineRule="auto"/>
      </w:pPr>
      <w:r>
        <w:t xml:space="preserve">where CommonLaw_c equals one for firms domiciled in common-law jurisdictions, and beta2 captures the differential post-Paris response of common-law relative to civil-law firms. Equations (1) and (2) are each estimated twice, once with green innovation and once with environmental disclosure as the dependent variable, allowing the substantive and symbolic channels to be compared. The comparison inspects the pattern of estimates across the two outcome equations rather than applying a formal cross-equation test of coefficient equality; the channels are accordingly described as differing in pattern rather than as statistically distinct in a single joint test.</w:t>
      </w:r>
    </w:p>
    <w:p>
      <w:pPr>
        <w:jc w:val="both"/>
        <w:spacing w:after="120" w:line="276" w:lineRule="auto"/>
      </w:pPr>
      <w:r>
        <w:t xml:space="preserve">To benchmark the Paris result and guard against reading too much into a single milestone, the same interaction design is estimated within three-year windows around a ladder of major climate milestones, as in Equation (3):</w:t>
      </w:r>
    </w:p>
    <w:p>
      <w:pPr>
        <w:jc w:val="center"/>
        <w:spacing w:after="120" w:line="276" w:lineRule="auto"/>
      </w:pPr>
      <w:r>
        <w:rPr>
          <w:i/>
        </w:rPr>
        <w:t xml:space="preserve">Y_it = alpha_i + lambda_t + sum_m beta_m (Post_t^m x StrongRoL_c) + gamma'X_it + epsilon_it     (3)</w:t>
      </w:r>
    </w:p>
    <w:p>
      <w:pPr>
        <w:jc w:val="both"/>
        <w:spacing w:after="120" w:line="276" w:lineRule="auto"/>
      </w:pPr>
      <w:r>
        <w:t xml:space="preserve">where m indexes the milestone, namely the Kyoto Protocol, the Copenhagen Accord, the Doha Amendment, the Paris Agreement, and the Glasgow Climate Pact, and Post_t^m equals one for the post-period of milestone m within its window. Kyoto and Copenhagen are reported only descriptively, since firm financial data begin around 2011, leaving insufficient pre-period coverage for those earlier milestones.</w:t>
      </w:r>
    </w:p>
    <w:p>
      <w:pPr>
        <w:jc w:val="both"/>
        <w:spacing w:after="120" w:line="276" w:lineRule="auto"/>
      </w:pPr>
      <w:r>
        <w:t xml:space="preserve">Two features of the design warrant comment. First, because Paris ratifications cluster tightly around 2016, the level term for Post_t is near-collinear with the common 2016 shock once year fixed effects are included, and its average coefficient is absorbed by construction. This is by design, not a limitation: identification of the hypotheses rests on the interaction of the treaty with time-invariant institutional characteristics rather than on its average effect, recovering a within-year comparison across institutional settings that the level term alone cannot. Second, the design rests on a parallel-trends assumption, namely that, absent the Agreement, the outcomes of firms in strong and weaker rule-of-law settings would have evolved similarly. The milestone ladder serves as an indirect test of this assumption and as a placebo benchmark: a treaty-specific interaction effect should appear around the relevant milestone rather than uniformly across all milestones, and the absence of a comparable pattern at non-binding or earlier milestones would weigh against a spurious-trend reading. The design nonetheless supports a quasi-experimental rather than a fully causal interpretation.</w:t>
      </w:r>
    </w:p>
    <w:p>
      <w:pPr>
        <w:jc w:val="both"/>
        <w:spacing w:after="120" w:line="276" w:lineRule="auto"/>
      </w:pPr>
      <w:r>
        <w:t xml:space="preserve">Robustness is assessed along three lines: alternative estimators, namely a Tobit specification for the censored 0 to 100 score and a linear probability model for the any-innovation indicator; alternative samples, namely excluding the three largest markets and splitting by G20 membership and by polluting versus clean industries; and alternative institutional measures, namely each of the four governance dimensions in turn and a composite governance index.</w:t>
      </w:r>
    </w:p>
    <w:p>
      <w:pPr>
        <w:spacing w:before="200" w:after="120"/>
      </w:pPr>
      <w:r>
        <w:rPr>
          <w:b/>
          <w:sz w:val="26"/>
          <w:szCs w:val="26"/>
        </w:rPr>
        <w:t xml:space="preserve">4. Results</w:t>
      </w:r>
    </w:p>
    <w:p>
      <w:pPr>
        <w:spacing w:before="160" w:after="100"/>
      </w:pPr>
      <w:r>
        <w:rPr>
          <w:b/>
          <w:i/>
          <w:sz w:val="24"/>
          <w:szCs w:val="24"/>
        </w:rPr>
        <w:t xml:space="preserve">4.1 Descriptive statistics</w:t>
      </w:r>
    </w:p>
    <w:p>
      <w:pPr>
        <w:jc w:val="both"/>
        <w:spacing w:after="120" w:line="276" w:lineRule="auto"/>
      </w:pPr>
      <w:r>
        <w:t xml:space="preserve">Descriptive statistics for the estimation variables appear in Table 2. The environmental-innovation score averages roughly 31 points on its 0 to 100 scale with substantial dispersion, indicating that substantive green innovation is modest on average and highly uneven across firms. How this concentration should be read is itself contested. Patent-based evidence finds that genuine green innovation clusters among a minority of high-capability firms rather than tracking broad sustainability ratings, so that low average scores reflect a real scarcity of innovative output (Cohen et al., 2020; Bolton et al., 2023). A rating-divergence literature counters that commercial environmental scores capture disclosed activity with considerable noise, so that an uneven score may understate underlying effort as much as it reflects genuine scarcity (Berg et al., 2022; Hawn &amp; Ioannou, 2016). About 58 percent of firm-years record some green innovation, and 59 percent fall in the post-Paris period. Average rule of law is positive, with one-third of firm-years classified as strong rule of law by construction of the top-tertile indicator, and roughly 36 percent of firms domiciled in common-law jurisdictions. The governance pillar and ESG scores average near the midpoint of their scales, consistent with the broad coverage of large listed firms.</w:t>
      </w:r>
    </w:p>
    <w:p>
      <w:pPr>
        <w:spacing w:after="60" w:line="276" w:lineRule="auto"/>
      </w:pPr>
      <w:r>
        <w:rPr>
          <w:b/>
        </w:rPr>
        <w:t xml:space="preserve">Table 2. Descriptive statistics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gridCol/>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mean</w:t>
            </w:r>
          </w:p>
        </w:tc>
        <w:tc>
          <w:tcPr>
            <w:tcMar>
              <w:top w:w="20" w:type="dxa"/>
              <w:bottom w:w="20" w:type="dxa"/>
              <w:left w:w="40" w:type="dxa"/>
              <w:right w:w="40" w:type="dxa"/>
            </w:tcMar>
          </w:tcPr>
          <w:p>
            <w:pPr>
              <w:spacing w:after="0" w:line="240" w:lineRule="auto"/>
            </w:pPr>
            <w:r>
              <w:rPr>
                <w:b/>
                <w:sz w:val="16"/>
                <w:szCs w:val="16"/>
              </w:rPr>
              <w:t xml:space="preserve">sd</w:t>
            </w:r>
          </w:p>
        </w:tc>
        <w:tc>
          <w:tcPr>
            <w:tcMar>
              <w:top w:w="20" w:type="dxa"/>
              <w:bottom w:w="20" w:type="dxa"/>
              <w:left w:w="40" w:type="dxa"/>
              <w:right w:w="40" w:type="dxa"/>
            </w:tcMar>
          </w:tcPr>
          <w:p>
            <w:pPr>
              <w:spacing w:after="0" w:line="240" w:lineRule="auto"/>
            </w:pPr>
            <w:r>
              <w:rPr>
                <w:b/>
                <w:sz w:val="16"/>
                <w:szCs w:val="16"/>
              </w:rPr>
              <w:t xml:space="preserve">p50</w:t>
            </w:r>
          </w:p>
        </w:tc>
        <w:tc>
          <w:tcPr>
            <w:tcMar>
              <w:top w:w="20" w:type="dxa"/>
              <w:bottom w:w="20" w:type="dxa"/>
              <w:left w:w="40" w:type="dxa"/>
              <w:right w:w="40" w:type="dxa"/>
            </w:tcMar>
          </w:tcPr>
          <w:p>
            <w:pPr>
              <w:spacing w:after="0" w:line="240" w:lineRule="auto"/>
            </w:pPr>
            <w:r>
              <w:rPr>
                <w:b/>
                <w:sz w:val="16"/>
                <w:szCs w:val="16"/>
              </w:rPr>
              <w:t xml:space="preserve">min</w:t>
            </w:r>
          </w:p>
        </w:tc>
        <w:tc>
          <w:tcPr>
            <w:tcMar>
              <w:top w:w="20" w:type="dxa"/>
              <w:bottom w:w="20" w:type="dxa"/>
              <w:left w:w="40" w:type="dxa"/>
              <w:right w:w="40" w:type="dxa"/>
            </w:tcMar>
          </w:tcPr>
          <w:p>
            <w:pPr>
              <w:spacing w:after="0" w:line="240" w:lineRule="auto"/>
            </w:pPr>
            <w:r>
              <w:rPr>
                <w:b/>
                <w:sz w:val="16"/>
                <w:szCs w:val="16"/>
              </w:rPr>
              <w:t xml:space="preserve">max</w:t>
            </w:r>
          </w:p>
        </w:tc>
        <w:tc>
          <w:tcPr>
            <w:tcMar>
              <w:top w:w="20" w:type="dxa"/>
              <w:bottom w:w="20" w:type="dxa"/>
              <w:left w:w="40" w:type="dxa"/>
              <w:right w:w="40" w:type="dxa"/>
            </w:tcMar>
          </w:tcPr>
          <w:p>
            <w:pPr>
              <w:spacing w:after="0" w:line="240" w:lineRule="auto"/>
            </w:pPr>
            <w:r>
              <w:rPr>
                <w:b/>
                <w:sz w:val="16"/>
                <w:szCs w:val="16"/>
              </w:rPr>
              <w:t xml:space="preserve">count</w:t>
            </w:r>
          </w:p>
        </w:tc>
      </w:tr>
      <w:tr>
        <w:tc>
          <w:tcPr>
            <w:tcMar>
              <w:top w:w="20" w:type="dxa"/>
              <w:bottom w:w="20" w:type="dxa"/>
              <w:left w:w="40" w:type="dxa"/>
              <w:right w:w="40" w:type="dxa"/>
            </w:tcMar>
          </w:tcPr>
          <w:p>
            <w:pPr>
              <w:spacing w:after="0" w:line="240" w:lineRule="auto"/>
            </w:pPr>
            <w:r>
              <w:rPr>
                <w:sz w:val="16"/>
                <w:szCs w:val="16"/>
              </w:rPr>
              <w:t xml:space="preserve">Green innovation (0-100)</w:t>
            </w:r>
          </w:p>
        </w:tc>
        <w:tc>
          <w:tcPr>
            <w:tcMar>
              <w:top w:w="20" w:type="dxa"/>
              <w:bottom w:w="20" w:type="dxa"/>
              <w:left w:w="40" w:type="dxa"/>
              <w:right w:w="40" w:type="dxa"/>
            </w:tcMar>
          </w:tcPr>
          <w:p>
            <w:pPr>
              <w:spacing w:after="0" w:line="240" w:lineRule="auto"/>
            </w:pPr>
            <w:r>
              <w:rPr>
                <w:sz w:val="16"/>
                <w:szCs w:val="16"/>
              </w:rPr>
              <w:t xml:space="preserve">30.694</w:t>
            </w:r>
          </w:p>
        </w:tc>
        <w:tc>
          <w:tcPr>
            <w:tcMar>
              <w:top w:w="20" w:type="dxa"/>
              <w:bottom w:w="20" w:type="dxa"/>
              <w:left w:w="40" w:type="dxa"/>
              <w:right w:w="40" w:type="dxa"/>
            </w:tcMar>
          </w:tcPr>
          <w:p>
            <w:pPr>
              <w:spacing w:after="0" w:line="240" w:lineRule="auto"/>
            </w:pPr>
            <w:r>
              <w:rPr>
                <w:sz w:val="16"/>
                <w:szCs w:val="16"/>
              </w:rPr>
              <w:t xml:space="preserve">32.681</w:t>
            </w:r>
          </w:p>
        </w:tc>
        <w:tc>
          <w:tcPr>
            <w:tcMar>
              <w:top w:w="20" w:type="dxa"/>
              <w:bottom w:w="20" w:type="dxa"/>
              <w:left w:w="40" w:type="dxa"/>
              <w:right w:w="40" w:type="dxa"/>
            </w:tcMar>
          </w:tcPr>
          <w:p>
            <w:pPr>
              <w:spacing w:after="0" w:line="240" w:lineRule="auto"/>
            </w:pPr>
            <w:r>
              <w:rPr>
                <w:sz w:val="16"/>
                <w:szCs w:val="16"/>
              </w:rPr>
              <w:t xml:space="preserve">20.488</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97.273</w:t>
            </w:r>
          </w:p>
        </w:tc>
        <w:tc>
          <w:tcPr>
            <w:tcMar>
              <w:top w:w="20" w:type="dxa"/>
              <w:bottom w:w="20" w:type="dxa"/>
              <w:left w:w="40" w:type="dxa"/>
              <w:right w:w="40" w:type="dxa"/>
            </w:tcMar>
          </w:tcPr>
          <w:p>
            <w:pPr>
              <w:spacing w:after="0" w:line="240" w:lineRule="auto"/>
            </w:pPr>
            <w:r>
              <w:rPr>
                <w:sz w:val="16"/>
                <w:szCs w:val="16"/>
              </w:rPr>
              <w:t xml:space="preserve">67841</w:t>
            </w:r>
          </w:p>
        </w:tc>
      </w:tr>
      <w:tr>
        <w:tc>
          <w:tcPr>
            <w:tcMar>
              <w:top w:w="20" w:type="dxa"/>
              <w:bottom w:w="20" w:type="dxa"/>
              <w:left w:w="40" w:type="dxa"/>
              <w:right w:w="40" w:type="dxa"/>
            </w:tcMar>
          </w:tcPr>
          <w:p>
            <w:pPr>
              <w:spacing w:after="0" w:line="240" w:lineRule="auto"/>
            </w:pPr>
            <w:r>
              <w:rPr>
                <w:sz w:val="16"/>
                <w:szCs w:val="16"/>
              </w:rPr>
              <w:t xml:space="preserve">Any green innovation (=1)</w:t>
            </w:r>
          </w:p>
        </w:tc>
        <w:tc>
          <w:tcPr>
            <w:tcMar>
              <w:top w:w="20" w:type="dxa"/>
              <w:bottom w:w="20" w:type="dxa"/>
              <w:left w:w="40" w:type="dxa"/>
              <w:right w:w="40" w:type="dxa"/>
            </w:tcMar>
          </w:tcPr>
          <w:p>
            <w:pPr>
              <w:spacing w:after="0" w:line="240" w:lineRule="auto"/>
            </w:pPr>
            <w:r>
              <w:rPr>
                <w:sz w:val="16"/>
                <w:szCs w:val="16"/>
              </w:rPr>
              <w:t xml:space="preserve">0.581</w:t>
            </w:r>
          </w:p>
        </w:tc>
        <w:tc>
          <w:tcPr>
            <w:tcMar>
              <w:top w:w="20" w:type="dxa"/>
              <w:bottom w:w="20" w:type="dxa"/>
              <w:left w:w="40" w:type="dxa"/>
              <w:right w:w="40" w:type="dxa"/>
            </w:tcMar>
          </w:tcPr>
          <w:p>
            <w:pPr>
              <w:spacing w:after="0" w:line="240" w:lineRule="auto"/>
            </w:pPr>
            <w:r>
              <w:rPr>
                <w:sz w:val="16"/>
                <w:szCs w:val="16"/>
              </w:rPr>
              <w:t xml:space="preserve">0.493</w:t>
            </w:r>
          </w:p>
        </w:tc>
        <w:tc>
          <w:tcPr>
            <w:tcMar>
              <w:top w:w="20" w:type="dxa"/>
              <w:bottom w:w="20" w:type="dxa"/>
              <w:left w:w="40" w:type="dxa"/>
              <w:right w:w="40" w:type="dxa"/>
            </w:tcMar>
          </w:tcPr>
          <w:p>
            <w:pPr>
              <w:spacing w:after="0" w:line="240" w:lineRule="auto"/>
            </w:pPr>
            <w:r>
              <w:rPr>
                <w:sz w:val="16"/>
                <w:szCs w:val="16"/>
              </w:rPr>
              <w:t xml:space="preserve">1.000</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1.000</w:t>
            </w:r>
          </w:p>
        </w:tc>
        <w:tc>
          <w:tcPr>
            <w:tcMar>
              <w:top w:w="20" w:type="dxa"/>
              <w:bottom w:w="20" w:type="dxa"/>
              <w:left w:w="40" w:type="dxa"/>
              <w:right w:w="40" w:type="dxa"/>
            </w:tcMar>
          </w:tcPr>
          <w:p>
            <w:pPr>
              <w:spacing w:after="0" w:line="240" w:lineRule="auto"/>
            </w:pPr>
            <w:r>
              <w:rPr>
                <w:sz w:val="16"/>
                <w:szCs w:val="16"/>
              </w:rPr>
              <w:t xml:space="preserve">67841</w:t>
            </w:r>
          </w:p>
        </w:tc>
      </w:tr>
      <w:tr>
        <w:tc>
          <w:tcPr>
            <w:tcMar>
              <w:top w:w="20" w:type="dxa"/>
              <w:bottom w:w="20" w:type="dxa"/>
              <w:left w:w="40" w:type="dxa"/>
              <w:right w:w="40" w:type="dxa"/>
            </w:tcMar>
          </w:tcPr>
          <w:p>
            <w:pPr>
              <w:spacing w:after="0" w:line="240" w:lineRule="auto"/>
            </w:pPr>
            <w:r>
              <w:rPr>
                <w:sz w:val="16"/>
                <w:szCs w:val="16"/>
              </w:rPr>
              <w:t xml:space="preserve">Post-Paris (=1)</w:t>
            </w:r>
          </w:p>
        </w:tc>
        <w:tc>
          <w:tcPr>
            <w:tcMar>
              <w:top w:w="20" w:type="dxa"/>
              <w:bottom w:w="20" w:type="dxa"/>
              <w:left w:w="40" w:type="dxa"/>
              <w:right w:w="40" w:type="dxa"/>
            </w:tcMar>
          </w:tcPr>
          <w:p>
            <w:pPr>
              <w:spacing w:after="0" w:line="240" w:lineRule="auto"/>
            </w:pPr>
            <w:r>
              <w:rPr>
                <w:sz w:val="16"/>
                <w:szCs w:val="16"/>
              </w:rPr>
              <w:t xml:space="preserve">0.589</w:t>
            </w:r>
          </w:p>
        </w:tc>
        <w:tc>
          <w:tcPr>
            <w:tcMar>
              <w:top w:w="20" w:type="dxa"/>
              <w:bottom w:w="20" w:type="dxa"/>
              <w:left w:w="40" w:type="dxa"/>
              <w:right w:w="40" w:type="dxa"/>
            </w:tcMar>
          </w:tcPr>
          <w:p>
            <w:pPr>
              <w:spacing w:after="0" w:line="240" w:lineRule="auto"/>
            </w:pPr>
            <w:r>
              <w:rPr>
                <w:sz w:val="16"/>
                <w:szCs w:val="16"/>
              </w:rPr>
              <w:t xml:space="preserve">0.492</w:t>
            </w:r>
          </w:p>
        </w:tc>
        <w:tc>
          <w:tcPr>
            <w:tcMar>
              <w:top w:w="20" w:type="dxa"/>
              <w:bottom w:w="20" w:type="dxa"/>
              <w:left w:w="40" w:type="dxa"/>
              <w:right w:w="40" w:type="dxa"/>
            </w:tcMar>
          </w:tcPr>
          <w:p>
            <w:pPr>
              <w:spacing w:after="0" w:line="240" w:lineRule="auto"/>
            </w:pPr>
            <w:r>
              <w:rPr>
                <w:sz w:val="16"/>
                <w:szCs w:val="16"/>
              </w:rPr>
              <w:t xml:space="preserve">1.000</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1.000</w:t>
            </w:r>
          </w:p>
        </w:tc>
        <w:tc>
          <w:tcPr>
            <w:tcMar>
              <w:top w:w="20" w:type="dxa"/>
              <w:bottom w:w="20" w:type="dxa"/>
              <w:left w:w="40" w:type="dxa"/>
              <w:right w:w="40" w:type="dxa"/>
            </w:tcMar>
          </w:tcPr>
          <w:p>
            <w:pPr>
              <w:spacing w:after="0" w:line="240" w:lineRule="auto"/>
            </w:pPr>
            <w:r>
              <w:rPr>
                <w:sz w:val="16"/>
                <w:szCs w:val="16"/>
              </w:rPr>
              <w:t xml:space="preserve">174182</w:t>
            </w:r>
          </w:p>
        </w:tc>
      </w:tr>
      <w:tr>
        <w:tc>
          <w:tcPr>
            <w:tcMar>
              <w:top w:w="20" w:type="dxa"/>
              <w:bottom w:w="20" w:type="dxa"/>
              <w:left w:w="40" w:type="dxa"/>
              <w:right w:w="40" w:type="dxa"/>
            </w:tcMar>
          </w:tcPr>
          <w:p>
            <w:pPr>
              <w:spacing w:after="0" w:line="240" w:lineRule="auto"/>
            </w:pPr>
            <w:r>
              <w:rPr>
                <w:sz w:val="16"/>
                <w:szCs w:val="16"/>
              </w:rPr>
              <w:t xml:space="preserve">wgi_rl</w:t>
            </w:r>
          </w:p>
        </w:tc>
        <w:tc>
          <w:tcPr>
            <w:tcMar>
              <w:top w:w="20" w:type="dxa"/>
              <w:bottom w:w="20" w:type="dxa"/>
              <w:left w:w="40" w:type="dxa"/>
              <w:right w:w="40" w:type="dxa"/>
            </w:tcMar>
          </w:tcPr>
          <w:p>
            <w:pPr>
              <w:spacing w:after="0" w:line="240" w:lineRule="auto"/>
            </w:pPr>
            <w:r>
              <w:rPr>
                <w:sz w:val="16"/>
                <w:szCs w:val="16"/>
              </w:rPr>
              <w:t xml:space="preserve">0.821</w:t>
            </w:r>
          </w:p>
        </w:tc>
        <w:tc>
          <w:tcPr>
            <w:tcMar>
              <w:top w:w="20" w:type="dxa"/>
              <w:bottom w:w="20" w:type="dxa"/>
              <w:left w:w="40" w:type="dxa"/>
              <w:right w:w="40" w:type="dxa"/>
            </w:tcMar>
          </w:tcPr>
          <w:p>
            <w:pPr>
              <w:spacing w:after="0" w:line="240" w:lineRule="auto"/>
            </w:pPr>
            <w:r>
              <w:rPr>
                <w:sz w:val="16"/>
                <w:szCs w:val="16"/>
              </w:rPr>
              <w:t xml:space="preserve">0.831</w:t>
            </w:r>
          </w:p>
        </w:tc>
        <w:tc>
          <w:tcPr>
            <w:tcMar>
              <w:top w:w="20" w:type="dxa"/>
              <w:bottom w:w="20" w:type="dxa"/>
              <w:left w:w="40" w:type="dxa"/>
              <w:right w:w="40" w:type="dxa"/>
            </w:tcMar>
          </w:tcPr>
          <w:p>
            <w:pPr>
              <w:spacing w:after="0" w:line="240" w:lineRule="auto"/>
            </w:pPr>
            <w:r>
              <w:rPr>
                <w:sz w:val="16"/>
                <w:szCs w:val="16"/>
              </w:rPr>
              <w:t xml:space="preserve">1.148</w:t>
            </w:r>
          </w:p>
        </w:tc>
        <w:tc>
          <w:tcPr>
            <w:tcMar>
              <w:top w:w="20" w:type="dxa"/>
              <w:bottom w:w="20" w:type="dxa"/>
              <w:left w:w="40" w:type="dxa"/>
              <w:right w:w="40" w:type="dxa"/>
            </w:tcMar>
          </w:tcPr>
          <w:p>
            <w:pPr>
              <w:spacing w:after="0" w:line="240" w:lineRule="auto"/>
            </w:pPr>
            <w:r>
              <w:rPr>
                <w:sz w:val="16"/>
                <w:szCs w:val="16"/>
              </w:rPr>
              <w:t xml:space="preserve">-0.825</w:t>
            </w:r>
          </w:p>
        </w:tc>
        <w:tc>
          <w:tcPr>
            <w:tcMar>
              <w:top w:w="20" w:type="dxa"/>
              <w:bottom w:w="20" w:type="dxa"/>
              <w:left w:w="40" w:type="dxa"/>
              <w:right w:w="40" w:type="dxa"/>
            </w:tcMar>
          </w:tcPr>
          <w:p>
            <w:pPr>
              <w:spacing w:after="0" w:line="240" w:lineRule="auto"/>
            </w:pPr>
            <w:r>
              <w:rPr>
                <w:sz w:val="16"/>
                <w:szCs w:val="16"/>
              </w:rPr>
              <w:t xml:space="preserve">1.994</w:t>
            </w:r>
          </w:p>
        </w:tc>
        <w:tc>
          <w:tcPr>
            <w:tcMar>
              <w:top w:w="20" w:type="dxa"/>
              <w:bottom w:w="20" w:type="dxa"/>
              <w:left w:w="40" w:type="dxa"/>
              <w:right w:w="40" w:type="dxa"/>
            </w:tcMar>
          </w:tcPr>
          <w:p>
            <w:pPr>
              <w:spacing w:after="0" w:line="240" w:lineRule="auto"/>
            </w:pPr>
            <w:r>
              <w:rPr>
                <w:sz w:val="16"/>
                <w:szCs w:val="16"/>
              </w:rPr>
              <w:t xml:space="preserve">152467</w:t>
            </w:r>
          </w:p>
        </w:tc>
      </w:tr>
      <w:tr>
        <w:tc>
          <w:tcPr>
            <w:tcMar>
              <w:top w:w="20" w:type="dxa"/>
              <w:bottom w:w="20" w:type="dxa"/>
              <w:left w:w="40" w:type="dxa"/>
              <w:right w:w="40" w:type="dxa"/>
            </w:tcMar>
          </w:tcPr>
          <w:p>
            <w:pPr>
              <w:spacing w:after="0" w:line="240" w:lineRule="auto"/>
            </w:pPr>
            <w:r>
              <w:rPr>
                <w:sz w:val="16"/>
                <w:szCs w:val="16"/>
              </w:rPr>
              <w:t xml:space="preserve">Strong rule of law (top tertile)</w:t>
            </w:r>
          </w:p>
        </w:tc>
        <w:tc>
          <w:tcPr>
            <w:tcMar>
              <w:top w:w="20" w:type="dxa"/>
              <w:bottom w:w="20" w:type="dxa"/>
              <w:left w:w="40" w:type="dxa"/>
              <w:right w:w="40" w:type="dxa"/>
            </w:tcMar>
          </w:tcPr>
          <w:p>
            <w:pPr>
              <w:spacing w:after="0" w:line="240" w:lineRule="auto"/>
            </w:pPr>
            <w:r>
              <w:rPr>
                <w:sz w:val="16"/>
                <w:szCs w:val="16"/>
              </w:rPr>
              <w:t xml:space="preserve">0.333</w:t>
            </w:r>
          </w:p>
        </w:tc>
        <w:tc>
          <w:tcPr>
            <w:tcMar>
              <w:top w:w="20" w:type="dxa"/>
              <w:bottom w:w="20" w:type="dxa"/>
              <w:left w:w="40" w:type="dxa"/>
              <w:right w:w="40" w:type="dxa"/>
            </w:tcMar>
          </w:tcPr>
          <w:p>
            <w:pPr>
              <w:spacing w:after="0" w:line="240" w:lineRule="auto"/>
            </w:pPr>
            <w:r>
              <w:rPr>
                <w:sz w:val="16"/>
                <w:szCs w:val="16"/>
              </w:rPr>
              <w:t xml:space="preserve">0.471</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1.000</w:t>
            </w:r>
          </w:p>
        </w:tc>
        <w:tc>
          <w:tcPr>
            <w:tcMar>
              <w:top w:w="20" w:type="dxa"/>
              <w:bottom w:w="20" w:type="dxa"/>
              <w:left w:w="40" w:type="dxa"/>
              <w:right w:w="40" w:type="dxa"/>
            </w:tcMar>
          </w:tcPr>
          <w:p>
            <w:pPr>
              <w:spacing w:after="0" w:line="240" w:lineRule="auto"/>
            </w:pPr>
            <w:r>
              <w:rPr>
                <w:sz w:val="16"/>
                <w:szCs w:val="16"/>
              </w:rPr>
              <w:t xml:space="preserve">152467</w:t>
            </w:r>
          </w:p>
        </w:tc>
      </w:tr>
      <w:tr>
        <w:tc>
          <w:tcPr>
            <w:tcMar>
              <w:top w:w="20" w:type="dxa"/>
              <w:bottom w:w="20" w:type="dxa"/>
              <w:left w:w="40" w:type="dxa"/>
              <w:right w:w="40" w:type="dxa"/>
            </w:tcMar>
          </w:tcPr>
          <w:p>
            <w:pPr>
              <w:spacing w:after="0" w:line="240" w:lineRule="auto"/>
            </w:pPr>
            <w:r>
              <w:rPr>
                <w:sz w:val="16"/>
                <w:szCs w:val="16"/>
              </w:rPr>
              <w:t xml:space="preserve">Common-law origin (=1)</w:t>
            </w:r>
          </w:p>
        </w:tc>
        <w:tc>
          <w:tcPr>
            <w:tcMar>
              <w:top w:w="20" w:type="dxa"/>
              <w:bottom w:w="20" w:type="dxa"/>
              <w:left w:w="40" w:type="dxa"/>
              <w:right w:w="40" w:type="dxa"/>
            </w:tcMar>
          </w:tcPr>
          <w:p>
            <w:pPr>
              <w:spacing w:after="0" w:line="240" w:lineRule="auto"/>
            </w:pPr>
            <w:r>
              <w:rPr>
                <w:sz w:val="16"/>
                <w:szCs w:val="16"/>
              </w:rPr>
              <w:t xml:space="preserve">0.359</w:t>
            </w:r>
          </w:p>
        </w:tc>
        <w:tc>
          <w:tcPr>
            <w:tcMar>
              <w:top w:w="20" w:type="dxa"/>
              <w:bottom w:w="20" w:type="dxa"/>
              <w:left w:w="40" w:type="dxa"/>
              <w:right w:w="40" w:type="dxa"/>
            </w:tcMar>
          </w:tcPr>
          <w:p>
            <w:pPr>
              <w:spacing w:after="0" w:line="240" w:lineRule="auto"/>
            </w:pPr>
            <w:r>
              <w:rPr>
                <w:sz w:val="16"/>
                <w:szCs w:val="16"/>
              </w:rPr>
              <w:t xml:space="preserve">0.480</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1.000</w:t>
            </w:r>
          </w:p>
        </w:tc>
        <w:tc>
          <w:tcPr>
            <w:tcMar>
              <w:top w:w="20" w:type="dxa"/>
              <w:bottom w:w="20" w:type="dxa"/>
              <w:left w:w="40" w:type="dxa"/>
              <w:right w:w="40" w:type="dxa"/>
            </w:tcMar>
          </w:tcPr>
          <w:p>
            <w:pPr>
              <w:spacing w:after="0" w:line="240" w:lineRule="auto"/>
            </w:pPr>
            <w:r>
              <w:rPr>
                <w:sz w:val="16"/>
                <w:szCs w:val="16"/>
              </w:rPr>
              <w:t xml:space="preserve">174182</w:t>
            </w:r>
          </w:p>
        </w:tc>
      </w:tr>
      <w:tr>
        <w:tc>
          <w:tcPr>
            <w:tcMar>
              <w:top w:w="20" w:type="dxa"/>
              <w:bottom w:w="20" w:type="dxa"/>
              <w:left w:w="40" w:type="dxa"/>
              <w:right w:w="40" w:type="dxa"/>
            </w:tcMar>
          </w:tcPr>
          <w:p>
            <w:pPr>
              <w:spacing w:after="0" w:line="240" w:lineRule="auto"/>
            </w:pPr>
            <w:r>
              <w:rPr>
                <w:sz w:val="16"/>
                <w:szCs w:val="16"/>
              </w:rPr>
              <w:t xml:space="preserve">board_indep</w:t>
            </w:r>
          </w:p>
        </w:tc>
        <w:tc>
          <w:tcPr>
            <w:tcMar>
              <w:top w:w="20" w:type="dxa"/>
              <w:bottom w:w="20" w:type="dxa"/>
              <w:left w:w="40" w:type="dxa"/>
              <w:right w:w="40" w:type="dxa"/>
            </w:tcMar>
          </w:tcPr>
          <w:p>
            <w:pPr>
              <w:spacing w:after="0" w:line="240" w:lineRule="auto"/>
            </w:pPr>
            <w:r>
              <w:rPr>
                <w:sz w:val="16"/>
                <w:szCs w:val="16"/>
              </w:rPr>
              <w:t xml:space="preserve">53.928</w:t>
            </w:r>
          </w:p>
        </w:tc>
        <w:tc>
          <w:tcPr>
            <w:tcMar>
              <w:top w:w="20" w:type="dxa"/>
              <w:bottom w:w="20" w:type="dxa"/>
              <w:left w:w="40" w:type="dxa"/>
              <w:right w:w="40" w:type="dxa"/>
            </w:tcMar>
          </w:tcPr>
          <w:p>
            <w:pPr>
              <w:spacing w:after="0" w:line="240" w:lineRule="auto"/>
            </w:pPr>
            <w:r>
              <w:rPr>
                <w:sz w:val="16"/>
                <w:szCs w:val="16"/>
              </w:rPr>
              <w:t xml:space="preserve">24.647</w:t>
            </w:r>
          </w:p>
        </w:tc>
        <w:tc>
          <w:tcPr>
            <w:tcMar>
              <w:top w:w="20" w:type="dxa"/>
              <w:bottom w:w="20" w:type="dxa"/>
              <w:left w:w="40" w:type="dxa"/>
              <w:right w:w="40" w:type="dxa"/>
            </w:tcMar>
          </w:tcPr>
          <w:p>
            <w:pPr>
              <w:spacing w:after="0" w:line="240" w:lineRule="auto"/>
            </w:pPr>
            <w:r>
              <w:rPr>
                <w:sz w:val="16"/>
                <w:szCs w:val="16"/>
              </w:rPr>
              <w:t xml:space="preserve">52.941</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100.000</w:t>
            </w:r>
          </w:p>
        </w:tc>
        <w:tc>
          <w:tcPr>
            <w:tcMar>
              <w:top w:w="20" w:type="dxa"/>
              <w:bottom w:w="20" w:type="dxa"/>
              <w:left w:w="40" w:type="dxa"/>
              <w:right w:w="40" w:type="dxa"/>
            </w:tcMar>
          </w:tcPr>
          <w:p>
            <w:pPr>
              <w:spacing w:after="0" w:line="240" w:lineRule="auto"/>
            </w:pPr>
            <w:r>
              <w:rPr>
                <w:sz w:val="16"/>
                <w:szCs w:val="16"/>
              </w:rPr>
              <w:t xml:space="preserve">65846</w:t>
            </w:r>
          </w:p>
        </w:tc>
      </w:tr>
      <w:tr>
        <w:tc>
          <w:tcPr>
            <w:tcMar>
              <w:top w:w="20" w:type="dxa"/>
              <w:bottom w:w="20" w:type="dxa"/>
              <w:left w:w="40" w:type="dxa"/>
              <w:right w:w="40" w:type="dxa"/>
            </w:tcMar>
          </w:tcPr>
          <w:p>
            <w:pPr>
              <w:spacing w:after="0" w:line="240" w:lineRule="auto"/>
            </w:pPr>
            <w:r>
              <w:rPr>
                <w:sz w:val="16"/>
                <w:szCs w:val="16"/>
              </w:rPr>
              <w:t xml:space="preserve">Governance pillar</w:t>
            </w:r>
          </w:p>
        </w:tc>
        <w:tc>
          <w:tcPr>
            <w:tcMar>
              <w:top w:w="20" w:type="dxa"/>
              <w:bottom w:w="20" w:type="dxa"/>
              <w:left w:w="40" w:type="dxa"/>
              <w:right w:w="40" w:type="dxa"/>
            </w:tcMar>
          </w:tcPr>
          <w:p>
            <w:pPr>
              <w:spacing w:after="0" w:line="240" w:lineRule="auto"/>
            </w:pPr>
            <w:r>
              <w:rPr>
                <w:sz w:val="16"/>
                <w:szCs w:val="16"/>
              </w:rPr>
              <w:t xml:space="preserve">52.945</w:t>
            </w:r>
          </w:p>
        </w:tc>
        <w:tc>
          <w:tcPr>
            <w:tcMar>
              <w:top w:w="20" w:type="dxa"/>
              <w:bottom w:w="20" w:type="dxa"/>
              <w:left w:w="40" w:type="dxa"/>
              <w:right w:w="40" w:type="dxa"/>
            </w:tcMar>
          </w:tcPr>
          <w:p>
            <w:pPr>
              <w:spacing w:after="0" w:line="240" w:lineRule="auto"/>
            </w:pPr>
            <w:r>
              <w:rPr>
                <w:sz w:val="16"/>
                <w:szCs w:val="16"/>
              </w:rPr>
              <w:t xml:space="preserve">22.294</w:t>
            </w:r>
          </w:p>
        </w:tc>
        <w:tc>
          <w:tcPr>
            <w:tcMar>
              <w:top w:w="20" w:type="dxa"/>
              <w:bottom w:w="20" w:type="dxa"/>
              <w:left w:w="40" w:type="dxa"/>
              <w:right w:w="40" w:type="dxa"/>
            </w:tcMar>
          </w:tcPr>
          <w:p>
            <w:pPr>
              <w:spacing w:after="0" w:line="240" w:lineRule="auto"/>
            </w:pPr>
            <w:r>
              <w:rPr>
                <w:sz w:val="16"/>
                <w:szCs w:val="16"/>
              </w:rPr>
              <w:t xml:space="preserve">54.386</w:t>
            </w:r>
          </w:p>
        </w:tc>
        <w:tc>
          <w:tcPr>
            <w:tcMar>
              <w:top w:w="20" w:type="dxa"/>
              <w:bottom w:w="20" w:type="dxa"/>
              <w:left w:w="40" w:type="dxa"/>
              <w:right w:w="40" w:type="dxa"/>
            </w:tcMar>
          </w:tcPr>
          <w:p>
            <w:pPr>
              <w:spacing w:after="0" w:line="240" w:lineRule="auto"/>
            </w:pPr>
            <w:r>
              <w:rPr>
                <w:sz w:val="16"/>
                <w:szCs w:val="16"/>
              </w:rPr>
              <w:t xml:space="preserve">6.423</w:t>
            </w:r>
          </w:p>
        </w:tc>
        <w:tc>
          <w:tcPr>
            <w:tcMar>
              <w:top w:w="20" w:type="dxa"/>
              <w:bottom w:w="20" w:type="dxa"/>
              <w:left w:w="40" w:type="dxa"/>
              <w:right w:w="40" w:type="dxa"/>
            </w:tcMar>
          </w:tcPr>
          <w:p>
            <w:pPr>
              <w:spacing w:after="0" w:line="240" w:lineRule="auto"/>
            </w:pPr>
            <w:r>
              <w:rPr>
                <w:sz w:val="16"/>
                <w:szCs w:val="16"/>
              </w:rPr>
              <w:t xml:space="preserve">93.241</w:t>
            </w:r>
          </w:p>
        </w:tc>
        <w:tc>
          <w:tcPr>
            <w:tcMar>
              <w:top w:w="20" w:type="dxa"/>
              <w:bottom w:w="20" w:type="dxa"/>
              <w:left w:w="40" w:type="dxa"/>
              <w:right w:w="40" w:type="dxa"/>
            </w:tcMar>
          </w:tcPr>
          <w:p>
            <w:pPr>
              <w:spacing w:after="0" w:line="240" w:lineRule="auto"/>
            </w:pPr>
            <w:r>
              <w:rPr>
                <w:sz w:val="16"/>
                <w:szCs w:val="16"/>
              </w:rPr>
              <w:t xml:space="preserve">67845</w:t>
            </w:r>
          </w:p>
        </w:tc>
      </w:tr>
      <w:tr>
        <w:tc>
          <w:tcPr>
            <w:tcMar>
              <w:top w:w="20" w:type="dxa"/>
              <w:bottom w:w="20" w:type="dxa"/>
              <w:left w:w="40" w:type="dxa"/>
              <w:right w:w="40" w:type="dxa"/>
            </w:tcMar>
          </w:tcPr>
          <w:p>
            <w:pPr>
              <w:spacing w:after="0" w:line="240" w:lineRule="auto"/>
            </w:pPr>
            <w:r>
              <w:rPr>
                <w:sz w:val="16"/>
                <w:szCs w:val="16"/>
              </w:rPr>
              <w:t xml:space="preserve">ESG score</w:t>
            </w:r>
          </w:p>
        </w:tc>
        <w:tc>
          <w:tcPr>
            <w:tcMar>
              <w:top w:w="20" w:type="dxa"/>
              <w:bottom w:w="20" w:type="dxa"/>
              <w:left w:w="40" w:type="dxa"/>
              <w:right w:w="40" w:type="dxa"/>
            </w:tcMar>
          </w:tcPr>
          <w:p>
            <w:pPr>
              <w:spacing w:after="0" w:line="240" w:lineRule="auto"/>
            </w:pPr>
            <w:r>
              <w:rPr>
                <w:sz w:val="16"/>
                <w:szCs w:val="16"/>
              </w:rPr>
              <w:t xml:space="preserve">49.994</w:t>
            </w:r>
          </w:p>
        </w:tc>
        <w:tc>
          <w:tcPr>
            <w:tcMar>
              <w:top w:w="20" w:type="dxa"/>
              <w:bottom w:w="20" w:type="dxa"/>
              <w:left w:w="40" w:type="dxa"/>
              <w:right w:w="40" w:type="dxa"/>
            </w:tcMar>
          </w:tcPr>
          <w:p>
            <w:pPr>
              <w:spacing w:after="0" w:line="240" w:lineRule="auto"/>
            </w:pPr>
            <w:r>
              <w:rPr>
                <w:sz w:val="16"/>
                <w:szCs w:val="16"/>
              </w:rPr>
              <w:t xml:space="preserve">20.615</w:t>
            </w:r>
          </w:p>
        </w:tc>
        <w:tc>
          <w:tcPr>
            <w:tcMar>
              <w:top w:w="20" w:type="dxa"/>
              <w:bottom w:w="20" w:type="dxa"/>
              <w:left w:w="40" w:type="dxa"/>
              <w:right w:w="40" w:type="dxa"/>
            </w:tcMar>
          </w:tcPr>
          <w:p>
            <w:pPr>
              <w:spacing w:after="0" w:line="240" w:lineRule="auto"/>
            </w:pPr>
            <w:r>
              <w:rPr>
                <w:sz w:val="16"/>
                <w:szCs w:val="16"/>
              </w:rPr>
              <w:t xml:space="preserve">51.414</w:t>
            </w:r>
          </w:p>
        </w:tc>
        <w:tc>
          <w:tcPr>
            <w:tcMar>
              <w:top w:w="20" w:type="dxa"/>
              <w:bottom w:w="20" w:type="dxa"/>
              <w:left w:w="40" w:type="dxa"/>
              <w:right w:w="40" w:type="dxa"/>
            </w:tcMar>
          </w:tcPr>
          <w:p>
            <w:pPr>
              <w:spacing w:after="0" w:line="240" w:lineRule="auto"/>
            </w:pPr>
            <w:r>
              <w:rPr>
                <w:sz w:val="16"/>
                <w:szCs w:val="16"/>
              </w:rPr>
              <w:t xml:space="preserve">6.318</w:t>
            </w:r>
          </w:p>
        </w:tc>
        <w:tc>
          <w:tcPr>
            <w:tcMar>
              <w:top w:w="20" w:type="dxa"/>
              <w:bottom w:w="20" w:type="dxa"/>
              <w:left w:w="40" w:type="dxa"/>
              <w:right w:w="40" w:type="dxa"/>
            </w:tcMar>
          </w:tcPr>
          <w:p>
            <w:pPr>
              <w:spacing w:after="0" w:line="240" w:lineRule="auto"/>
            </w:pPr>
            <w:r>
              <w:rPr>
                <w:sz w:val="16"/>
                <w:szCs w:val="16"/>
              </w:rPr>
              <w:t xml:space="preserve">88.480</w:t>
            </w:r>
          </w:p>
        </w:tc>
        <w:tc>
          <w:tcPr>
            <w:tcMar>
              <w:top w:w="20" w:type="dxa"/>
              <w:bottom w:w="20" w:type="dxa"/>
              <w:left w:w="40" w:type="dxa"/>
              <w:right w:w="40" w:type="dxa"/>
            </w:tcMar>
          </w:tcPr>
          <w:p>
            <w:pPr>
              <w:spacing w:after="0" w:line="240" w:lineRule="auto"/>
            </w:pPr>
            <w:r>
              <w:rPr>
                <w:sz w:val="16"/>
                <w:szCs w:val="16"/>
              </w:rPr>
              <w:t xml:space="preserve">67845</w:t>
            </w:r>
          </w:p>
        </w:tc>
      </w:tr>
      <w:tr>
        <w:tc>
          <w:tcPr>
            <w:tcMar>
              <w:top w:w="20" w:type="dxa"/>
              <w:bottom w:w="20" w:type="dxa"/>
              <w:left w:w="40" w:type="dxa"/>
              <w:right w:w="40" w:type="dxa"/>
            </w:tcMar>
          </w:tcPr>
          <w:p>
            <w:pPr>
              <w:spacing w:after="0" w:line="240" w:lineRule="auto"/>
            </w:pPr>
            <w:r>
              <w:rPr>
                <w:sz w:val="16"/>
                <w:szCs w:val="16"/>
              </w:rPr>
              <w:t xml:space="preserve">firm_age</w:t>
            </w:r>
          </w:p>
        </w:tc>
        <w:tc>
          <w:tcPr>
            <w:tcMar>
              <w:top w:w="20" w:type="dxa"/>
              <w:bottom w:w="20" w:type="dxa"/>
              <w:left w:w="40" w:type="dxa"/>
              <w:right w:w="40" w:type="dxa"/>
            </w:tcMar>
          </w:tcPr>
          <w:p>
            <w:pPr>
              <w:spacing w:after="0" w:line="240" w:lineRule="auto"/>
            </w:pPr>
            <w:r>
              <w:rPr>
                <w:sz w:val="16"/>
                <w:szCs w:val="16"/>
              </w:rPr>
              <w:t xml:space="preserve">32.527</w:t>
            </w:r>
          </w:p>
        </w:tc>
        <w:tc>
          <w:tcPr>
            <w:tcMar>
              <w:top w:w="20" w:type="dxa"/>
              <w:bottom w:w="20" w:type="dxa"/>
              <w:left w:w="40" w:type="dxa"/>
              <w:right w:w="40" w:type="dxa"/>
            </w:tcMar>
          </w:tcPr>
          <w:p>
            <w:pPr>
              <w:spacing w:after="0" w:line="240" w:lineRule="auto"/>
            </w:pPr>
            <w:r>
              <w:rPr>
                <w:sz w:val="16"/>
                <w:szCs w:val="16"/>
              </w:rPr>
              <w:t xml:space="preserve">25.587</w:t>
            </w:r>
          </w:p>
        </w:tc>
        <w:tc>
          <w:tcPr>
            <w:tcMar>
              <w:top w:w="20" w:type="dxa"/>
              <w:bottom w:w="20" w:type="dxa"/>
              <w:left w:w="40" w:type="dxa"/>
              <w:right w:w="40" w:type="dxa"/>
            </w:tcMar>
          </w:tcPr>
          <w:p>
            <w:pPr>
              <w:spacing w:after="0" w:line="240" w:lineRule="auto"/>
            </w:pPr>
            <w:r>
              <w:rPr>
                <w:sz w:val="16"/>
                <w:szCs w:val="16"/>
              </w:rPr>
              <w:t xml:space="preserve">24.000</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125.000</w:t>
            </w:r>
          </w:p>
        </w:tc>
        <w:tc>
          <w:tcPr>
            <w:tcMar>
              <w:top w:w="20" w:type="dxa"/>
              <w:bottom w:w="20" w:type="dxa"/>
              <w:left w:w="40" w:type="dxa"/>
              <w:right w:w="40" w:type="dxa"/>
            </w:tcMar>
          </w:tcPr>
          <w:p>
            <w:pPr>
              <w:spacing w:after="0" w:line="240" w:lineRule="auto"/>
            </w:pPr>
            <w:r>
              <w:rPr>
                <w:sz w:val="16"/>
                <w:szCs w:val="16"/>
              </w:rPr>
              <w:t xml:space="preserve">155064</w:t>
            </w:r>
          </w:p>
        </w:tc>
      </w:tr>
      <w:tr>
        <w:tc>
          <w:tcPr>
            <w:tcMar>
              <w:top w:w="20" w:type="dxa"/>
              <w:bottom w:w="20" w:type="dxa"/>
              <w:left w:w="40" w:type="dxa"/>
              <w:right w:w="40" w:type="dxa"/>
            </w:tcMar>
          </w:tcPr>
          <w:p>
            <w:pPr>
              <w:spacing w:after="0" w:line="240" w:lineRule="auto"/>
            </w:pPr>
            <w:r>
              <w:rPr>
                <w:sz w:val="16"/>
                <w:szCs w:val="16"/>
              </w:rPr>
              <w:t xml:space="preserve">ln(Total assets)</w:t>
            </w:r>
          </w:p>
        </w:tc>
        <w:tc>
          <w:tcPr>
            <w:tcMar>
              <w:top w:w="20" w:type="dxa"/>
              <w:bottom w:w="20" w:type="dxa"/>
              <w:left w:w="40" w:type="dxa"/>
              <w:right w:w="40" w:type="dxa"/>
            </w:tcMar>
          </w:tcPr>
          <w:p>
            <w:pPr>
              <w:spacing w:after="0" w:line="240" w:lineRule="auto"/>
            </w:pPr>
            <w:r>
              <w:rPr>
                <w:sz w:val="16"/>
                <w:szCs w:val="16"/>
              </w:rPr>
              <w:t xml:space="preserve">21.825</w:t>
            </w:r>
          </w:p>
        </w:tc>
        <w:tc>
          <w:tcPr>
            <w:tcMar>
              <w:top w:w="20" w:type="dxa"/>
              <w:bottom w:w="20" w:type="dxa"/>
              <w:left w:w="40" w:type="dxa"/>
              <w:right w:w="40" w:type="dxa"/>
            </w:tcMar>
          </w:tcPr>
          <w:p>
            <w:pPr>
              <w:spacing w:after="0" w:line="240" w:lineRule="auto"/>
            </w:pPr>
            <w:r>
              <w:rPr>
                <w:sz w:val="16"/>
                <w:szCs w:val="16"/>
              </w:rPr>
              <w:t xml:space="preserve">2.020</w:t>
            </w:r>
          </w:p>
        </w:tc>
        <w:tc>
          <w:tcPr>
            <w:tcMar>
              <w:top w:w="20" w:type="dxa"/>
              <w:bottom w:w="20" w:type="dxa"/>
              <w:left w:w="40" w:type="dxa"/>
              <w:right w:w="40" w:type="dxa"/>
            </w:tcMar>
          </w:tcPr>
          <w:p>
            <w:pPr>
              <w:spacing w:after="0" w:line="240" w:lineRule="auto"/>
            </w:pPr>
            <w:r>
              <w:rPr>
                <w:sz w:val="16"/>
                <w:szCs w:val="16"/>
              </w:rPr>
              <w:t xml:space="preserve">21.680</w:t>
            </w:r>
          </w:p>
        </w:tc>
        <w:tc>
          <w:tcPr>
            <w:tcMar>
              <w:top w:w="20" w:type="dxa"/>
              <w:bottom w:w="20" w:type="dxa"/>
              <w:left w:w="40" w:type="dxa"/>
              <w:right w:w="40" w:type="dxa"/>
            </w:tcMar>
          </w:tcPr>
          <w:p>
            <w:pPr>
              <w:spacing w:after="0" w:line="240" w:lineRule="auto"/>
            </w:pPr>
            <w:r>
              <w:rPr>
                <w:sz w:val="16"/>
                <w:szCs w:val="16"/>
              </w:rPr>
              <w:t xml:space="preserve">17.560</w:t>
            </w:r>
          </w:p>
        </w:tc>
        <w:tc>
          <w:tcPr>
            <w:tcMar>
              <w:top w:w="20" w:type="dxa"/>
              <w:bottom w:w="20" w:type="dxa"/>
              <w:left w:w="40" w:type="dxa"/>
              <w:right w:w="40" w:type="dxa"/>
            </w:tcMar>
          </w:tcPr>
          <w:p>
            <w:pPr>
              <w:spacing w:after="0" w:line="240" w:lineRule="auto"/>
            </w:pPr>
            <w:r>
              <w:rPr>
                <w:sz w:val="16"/>
                <w:szCs w:val="16"/>
              </w:rPr>
              <w:t xml:space="preserve">27.275</w:t>
            </w:r>
          </w:p>
        </w:tc>
        <w:tc>
          <w:tcPr>
            <w:tcMar>
              <w:top w:w="20" w:type="dxa"/>
              <w:bottom w:w="20" w:type="dxa"/>
              <w:left w:w="40" w:type="dxa"/>
              <w:right w:w="40" w:type="dxa"/>
            </w:tcMar>
          </w:tcPr>
          <w:p>
            <w:pPr>
              <w:spacing w:after="0" w:line="240" w:lineRule="auto"/>
            </w:pPr>
            <w:r>
              <w:rPr>
                <w:sz w:val="16"/>
                <w:szCs w:val="16"/>
              </w:rPr>
              <w:t xml:space="preserve">83689</w:t>
            </w:r>
          </w:p>
        </w:tc>
      </w:tr>
      <w:tr>
        <w:tc>
          <w:tcPr>
            <w:tcMar>
              <w:top w:w="20" w:type="dxa"/>
              <w:bottom w:w="20" w:type="dxa"/>
              <w:left w:w="40" w:type="dxa"/>
              <w:right w:w="40" w:type="dxa"/>
            </w:tcMar>
          </w:tcPr>
          <w:p>
            <w:pPr>
              <w:spacing w:after="0" w:line="240" w:lineRule="auto"/>
            </w:pPr>
            <w:r>
              <w:rPr>
                <w:sz w:val="16"/>
                <w:szCs w:val="16"/>
              </w:rPr>
              <w:t xml:space="preserve">Leverage</w:t>
            </w:r>
          </w:p>
        </w:tc>
        <w:tc>
          <w:tcPr>
            <w:tcMar>
              <w:top w:w="20" w:type="dxa"/>
              <w:bottom w:w="20" w:type="dxa"/>
              <w:left w:w="40" w:type="dxa"/>
              <w:right w:w="40" w:type="dxa"/>
            </w:tcMar>
          </w:tcPr>
          <w:p>
            <w:pPr>
              <w:spacing w:after="0" w:line="240" w:lineRule="auto"/>
            </w:pPr>
            <w:r>
              <w:rPr>
                <w:sz w:val="16"/>
                <w:szCs w:val="16"/>
              </w:rPr>
              <w:t xml:space="preserve">0.235</w:t>
            </w:r>
          </w:p>
        </w:tc>
        <w:tc>
          <w:tcPr>
            <w:tcMar>
              <w:top w:w="20" w:type="dxa"/>
              <w:bottom w:w="20" w:type="dxa"/>
              <w:left w:w="40" w:type="dxa"/>
              <w:right w:w="40" w:type="dxa"/>
            </w:tcMar>
          </w:tcPr>
          <w:p>
            <w:pPr>
              <w:spacing w:after="0" w:line="240" w:lineRule="auto"/>
            </w:pPr>
            <w:r>
              <w:rPr>
                <w:sz w:val="16"/>
                <w:szCs w:val="16"/>
              </w:rPr>
              <w:t xml:space="preserve">0.176</w:t>
            </w:r>
          </w:p>
        </w:tc>
        <w:tc>
          <w:tcPr>
            <w:tcMar>
              <w:top w:w="20" w:type="dxa"/>
              <w:bottom w:w="20" w:type="dxa"/>
              <w:left w:w="40" w:type="dxa"/>
              <w:right w:w="40" w:type="dxa"/>
            </w:tcMar>
          </w:tcPr>
          <w:p>
            <w:pPr>
              <w:spacing w:after="0" w:line="240" w:lineRule="auto"/>
            </w:pPr>
            <w:r>
              <w:rPr>
                <w:sz w:val="16"/>
                <w:szCs w:val="16"/>
              </w:rPr>
              <w:t xml:space="preserve">0.214</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0.749</w:t>
            </w:r>
          </w:p>
        </w:tc>
        <w:tc>
          <w:tcPr>
            <w:tcMar>
              <w:top w:w="20" w:type="dxa"/>
              <w:bottom w:w="20" w:type="dxa"/>
              <w:left w:w="40" w:type="dxa"/>
              <w:right w:w="40" w:type="dxa"/>
            </w:tcMar>
          </w:tcPr>
          <w:p>
            <w:pPr>
              <w:spacing w:after="0" w:line="240" w:lineRule="auto"/>
            </w:pPr>
            <w:r>
              <w:rPr>
                <w:sz w:val="16"/>
                <w:szCs w:val="16"/>
              </w:rPr>
              <w:t xml:space="preserve">38292</w:t>
            </w:r>
          </w:p>
        </w:tc>
      </w:tr>
      <w:tr>
        <w:tc>
          <w:tcPr>
            <w:tcMar>
              <w:top w:w="20" w:type="dxa"/>
              <w:bottom w:w="20" w:type="dxa"/>
              <w:left w:w="40" w:type="dxa"/>
              <w:right w:w="40" w:type="dxa"/>
            </w:tcMar>
          </w:tcPr>
          <w:p>
            <w:pPr>
              <w:spacing w:after="0" w:line="240" w:lineRule="auto"/>
            </w:pPr>
            <w:r>
              <w:rPr>
                <w:sz w:val="16"/>
                <w:szCs w:val="16"/>
              </w:rPr>
              <w:t xml:space="preserve">roa</w:t>
            </w:r>
          </w:p>
        </w:tc>
        <w:tc>
          <w:tcPr>
            <w:tcMar>
              <w:top w:w="20" w:type="dxa"/>
              <w:bottom w:w="20" w:type="dxa"/>
              <w:left w:w="40" w:type="dxa"/>
              <w:right w:w="40" w:type="dxa"/>
            </w:tcMar>
          </w:tcPr>
          <w:p>
            <w:pPr>
              <w:spacing w:after="0" w:line="240" w:lineRule="auto"/>
            </w:pPr>
            <w:r>
              <w:rPr>
                <w:sz w:val="16"/>
                <w:szCs w:val="16"/>
              </w:rPr>
              <w:t xml:space="preserve">0.060</w:t>
            </w:r>
          </w:p>
        </w:tc>
        <w:tc>
          <w:tcPr>
            <w:tcMar>
              <w:top w:w="20" w:type="dxa"/>
              <w:bottom w:w="20" w:type="dxa"/>
              <w:left w:w="40" w:type="dxa"/>
              <w:right w:w="40" w:type="dxa"/>
            </w:tcMar>
          </w:tcPr>
          <w:p>
            <w:pPr>
              <w:spacing w:after="0" w:line="240" w:lineRule="auto"/>
            </w:pPr>
            <w:r>
              <w:rPr>
                <w:sz w:val="16"/>
                <w:szCs w:val="16"/>
              </w:rPr>
              <w:t xml:space="preserve">0.071</w:t>
            </w:r>
          </w:p>
        </w:tc>
        <w:tc>
          <w:tcPr>
            <w:tcMar>
              <w:top w:w="20" w:type="dxa"/>
              <w:bottom w:w="20" w:type="dxa"/>
              <w:left w:w="40" w:type="dxa"/>
              <w:right w:w="40" w:type="dxa"/>
            </w:tcMar>
          </w:tcPr>
          <w:p>
            <w:pPr>
              <w:spacing w:after="0" w:line="240" w:lineRule="auto"/>
            </w:pPr>
            <w:r>
              <w:rPr>
                <w:sz w:val="16"/>
                <w:szCs w:val="16"/>
              </w:rPr>
              <w:t xml:space="preserve">0.050</w:t>
            </w:r>
          </w:p>
        </w:tc>
        <w:tc>
          <w:tcPr>
            <w:tcMar>
              <w:top w:w="20" w:type="dxa"/>
              <w:bottom w:w="20" w:type="dxa"/>
              <w:left w:w="40" w:type="dxa"/>
              <w:right w:w="40" w:type="dxa"/>
            </w:tcMar>
          </w:tcPr>
          <w:p>
            <w:pPr>
              <w:spacing w:after="0" w:line="240" w:lineRule="auto"/>
            </w:pPr>
            <w:r>
              <w:rPr>
                <w:sz w:val="16"/>
                <w:szCs w:val="16"/>
              </w:rPr>
              <w:t xml:space="preserve">-0.190</w:t>
            </w:r>
          </w:p>
        </w:tc>
        <w:tc>
          <w:tcPr>
            <w:tcMar>
              <w:top w:w="20" w:type="dxa"/>
              <w:bottom w:w="20" w:type="dxa"/>
              <w:left w:w="40" w:type="dxa"/>
              <w:right w:w="40" w:type="dxa"/>
            </w:tcMar>
          </w:tcPr>
          <w:p>
            <w:pPr>
              <w:spacing w:after="0" w:line="240" w:lineRule="auto"/>
            </w:pPr>
            <w:r>
              <w:rPr>
                <w:sz w:val="16"/>
                <w:szCs w:val="16"/>
              </w:rPr>
              <w:t xml:space="preserve">0.313</w:t>
            </w:r>
          </w:p>
        </w:tc>
        <w:tc>
          <w:tcPr>
            <w:tcMar>
              <w:top w:w="20" w:type="dxa"/>
              <w:bottom w:w="20" w:type="dxa"/>
              <w:left w:w="40" w:type="dxa"/>
              <w:right w:w="40" w:type="dxa"/>
            </w:tcMar>
          </w:tcPr>
          <w:p>
            <w:pPr>
              <w:spacing w:after="0" w:line="240" w:lineRule="auto"/>
            </w:pPr>
            <w:r>
              <w:rPr>
                <w:sz w:val="16"/>
                <w:szCs w:val="16"/>
              </w:rPr>
              <w:t xml:space="preserve">75715</w:t>
            </w:r>
          </w:p>
        </w:tc>
      </w:tr>
      <w:tr>
        <w:tc>
          <w:tcPr>
            <w:tcMar>
              <w:top w:w="20" w:type="dxa"/>
              <w:bottom w:w="20" w:type="dxa"/>
              <w:left w:w="40" w:type="dxa"/>
              <w:right w:w="40" w:type="dxa"/>
            </w:tcMar>
          </w:tcPr>
          <w:p>
            <w:pPr>
              <w:spacing w:after="0" w:line="240" w:lineRule="auto"/>
            </w:pPr>
            <w:r>
              <w:rPr>
                <w:sz w:val="16"/>
                <w:szCs w:val="16"/>
              </w:rPr>
              <w:t xml:space="preserve">loss</w:t>
            </w:r>
          </w:p>
        </w:tc>
        <w:tc>
          <w:tcPr>
            <w:tcMar>
              <w:top w:w="20" w:type="dxa"/>
              <w:bottom w:w="20" w:type="dxa"/>
              <w:left w:w="40" w:type="dxa"/>
              <w:right w:w="40" w:type="dxa"/>
            </w:tcMar>
          </w:tcPr>
          <w:p>
            <w:pPr>
              <w:spacing w:after="0" w:line="240" w:lineRule="auto"/>
            </w:pPr>
            <w:r>
              <w:rPr>
                <w:sz w:val="16"/>
                <w:szCs w:val="16"/>
              </w:rPr>
              <w:t xml:space="preserve">0.084</w:t>
            </w:r>
          </w:p>
        </w:tc>
        <w:tc>
          <w:tcPr>
            <w:tcMar>
              <w:top w:w="20" w:type="dxa"/>
              <w:bottom w:w="20" w:type="dxa"/>
              <w:left w:w="40" w:type="dxa"/>
              <w:right w:w="40" w:type="dxa"/>
            </w:tcMar>
          </w:tcPr>
          <w:p>
            <w:pPr>
              <w:spacing w:after="0" w:line="240" w:lineRule="auto"/>
            </w:pPr>
            <w:r>
              <w:rPr>
                <w:sz w:val="16"/>
                <w:szCs w:val="16"/>
              </w:rPr>
              <w:t xml:space="preserve">0.277</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1.000</w:t>
            </w:r>
          </w:p>
        </w:tc>
        <w:tc>
          <w:tcPr>
            <w:tcMar>
              <w:top w:w="20" w:type="dxa"/>
              <w:bottom w:w="20" w:type="dxa"/>
              <w:left w:w="40" w:type="dxa"/>
              <w:right w:w="40" w:type="dxa"/>
            </w:tcMar>
          </w:tcPr>
          <w:p>
            <w:pPr>
              <w:spacing w:after="0" w:line="240" w:lineRule="auto"/>
            </w:pPr>
            <w:r>
              <w:rPr>
                <w:sz w:val="16"/>
                <w:szCs w:val="16"/>
              </w:rPr>
              <w:t xml:space="preserve">112995</w:t>
            </w:r>
          </w:p>
        </w:tc>
      </w:tr>
      <w:tr>
        <w:tc>
          <w:tcPr>
            <w:tcMar>
              <w:top w:w="20" w:type="dxa"/>
              <w:bottom w:w="20" w:type="dxa"/>
              <w:left w:w="40" w:type="dxa"/>
              <w:right w:w="40" w:type="dxa"/>
            </w:tcMar>
          </w:tcPr>
          <w:p>
            <w:pPr>
              <w:spacing w:after="0" w:line="240" w:lineRule="auto"/>
            </w:pPr>
            <w:r>
              <w:rPr>
                <w:sz w:val="16"/>
                <w:szCs w:val="16"/>
              </w:rPr>
              <w:t xml:space="preserve">mtb</w:t>
            </w:r>
          </w:p>
        </w:tc>
        <w:tc>
          <w:tcPr>
            <w:tcMar>
              <w:top w:w="20" w:type="dxa"/>
              <w:bottom w:w="20" w:type="dxa"/>
              <w:left w:w="40" w:type="dxa"/>
              <w:right w:w="40" w:type="dxa"/>
            </w:tcMar>
          </w:tcPr>
          <w:p>
            <w:pPr>
              <w:spacing w:after="0" w:line="240" w:lineRule="auto"/>
            </w:pPr>
            <w:r>
              <w:rPr>
                <w:sz w:val="16"/>
                <w:szCs w:val="16"/>
              </w:rPr>
              <w:t xml:space="preserve">1.957</w:t>
            </w:r>
          </w:p>
        </w:tc>
        <w:tc>
          <w:tcPr>
            <w:tcMar>
              <w:top w:w="20" w:type="dxa"/>
              <w:bottom w:w="20" w:type="dxa"/>
              <w:left w:w="40" w:type="dxa"/>
              <w:right w:w="40" w:type="dxa"/>
            </w:tcMar>
          </w:tcPr>
          <w:p>
            <w:pPr>
              <w:spacing w:after="0" w:line="240" w:lineRule="auto"/>
            </w:pPr>
            <w:r>
              <w:rPr>
                <w:sz w:val="16"/>
                <w:szCs w:val="16"/>
              </w:rPr>
              <w:t xml:space="preserve">2.369</w:t>
            </w:r>
          </w:p>
        </w:tc>
        <w:tc>
          <w:tcPr>
            <w:tcMar>
              <w:top w:w="20" w:type="dxa"/>
              <w:bottom w:w="20" w:type="dxa"/>
              <w:left w:w="40" w:type="dxa"/>
              <w:right w:w="40" w:type="dxa"/>
            </w:tcMar>
          </w:tcPr>
          <w:p>
            <w:pPr>
              <w:spacing w:after="0" w:line="240" w:lineRule="auto"/>
            </w:pPr>
            <w:r>
              <w:rPr>
                <w:sz w:val="16"/>
                <w:szCs w:val="16"/>
              </w:rPr>
              <w:t xml:space="preserve">1.121</w:t>
            </w:r>
          </w:p>
        </w:tc>
        <w:tc>
          <w:tcPr>
            <w:tcMar>
              <w:top w:w="20" w:type="dxa"/>
              <w:bottom w:w="20" w:type="dxa"/>
              <w:left w:w="40" w:type="dxa"/>
              <w:right w:w="40" w:type="dxa"/>
            </w:tcMar>
          </w:tcPr>
          <w:p>
            <w:pPr>
              <w:spacing w:after="0" w:line="240" w:lineRule="auto"/>
            </w:pPr>
            <w:r>
              <w:rPr>
                <w:sz w:val="16"/>
                <w:szCs w:val="16"/>
              </w:rPr>
              <w:t xml:space="preserve">0.035</w:t>
            </w:r>
          </w:p>
        </w:tc>
        <w:tc>
          <w:tcPr>
            <w:tcMar>
              <w:top w:w="20" w:type="dxa"/>
              <w:bottom w:w="20" w:type="dxa"/>
              <w:left w:w="40" w:type="dxa"/>
              <w:right w:w="40" w:type="dxa"/>
            </w:tcMar>
          </w:tcPr>
          <w:p>
            <w:pPr>
              <w:spacing w:after="0" w:line="240" w:lineRule="auto"/>
            </w:pPr>
            <w:r>
              <w:rPr>
                <w:sz w:val="16"/>
                <w:szCs w:val="16"/>
              </w:rPr>
              <w:t xml:space="preserve">13.908</w:t>
            </w:r>
          </w:p>
        </w:tc>
        <w:tc>
          <w:tcPr>
            <w:tcMar>
              <w:top w:w="20" w:type="dxa"/>
              <w:bottom w:w="20" w:type="dxa"/>
              <w:left w:w="40" w:type="dxa"/>
              <w:right w:w="40" w:type="dxa"/>
            </w:tcMar>
          </w:tcPr>
          <w:p>
            <w:pPr>
              <w:spacing w:after="0" w:line="240" w:lineRule="auto"/>
            </w:pPr>
            <w:r>
              <w:rPr>
                <w:sz w:val="16"/>
                <w:szCs w:val="16"/>
              </w:rPr>
              <w:t xml:space="preserve">38117</w:t>
            </w:r>
          </w:p>
        </w:tc>
      </w:tr>
    </w:tbl>
    <w:p>
      <w:pPr>
        <w:spacing w:after="0"/>
      </w:pPr>
    </w:p>
    <w:p>
      <w:pPr>
        <w:spacing w:after="20" w:line="276" w:lineRule="auto"/>
      </w:pPr>
      <w:r>
        <w:rPr>
          <w:i/>
          <w:sz w:val="16"/>
          <w:szCs w:val="16"/>
        </w:rPr>
        <w:t xml:space="preserve">Continuous firm variables winsorised at the 1st and 99th percentiles. Scores range 0-100; rule of law is the World Bank WGI estimate.</w:t>
      </w:r>
    </w:p>
    <w:p>
      <w:pPr>
        <w:spacing w:after="60" w:line="276" w:lineRule="auto"/>
      </w:pPr>
      <w:r>
        <w:t xml:space="preserve"/>
      </w:r>
    </w:p>
    <w:p>
      <w:pPr>
        <w:spacing w:before="160" w:after="100"/>
      </w:pPr>
      <w:r>
        <w:rPr>
          <w:b/>
          <w:i/>
          <w:sz w:val="24"/>
          <w:szCs w:val="24"/>
        </w:rPr>
        <w:t xml:space="preserve">4.2 Correlation matrix</w:t>
      </w:r>
    </w:p>
    <w:p>
      <w:pPr>
        <w:jc w:val="both"/>
        <w:spacing w:after="120" w:line="276" w:lineRule="auto"/>
      </w:pPr>
      <w:r>
        <w:t xml:space="preserve">The pairwise correlation matrix appears in Table 3, where two features bear on identification. First, green innovation correlates most strongly with the ESG score and the governance pillar, and only modestly with rule of law. Even this pattern admits two readings: one holds that composite ESG scores are driven heavily by disclosure-type content rather than substantive innovation, so that the innovation-ESG correlation partly reflects shared reporting intensity (Berg et al., 2022); the other treats the same correlation as evidence that environmental innovation is typically embedded within broader, internally coordinated sustainability strategies (Hawn &amp; Ioannou, 2016). Second, the four governance indicators, namely rule of law, regulatory quality, control of corruption, and government effectiveness, are very highly inter-correlated. They are therefore treated as alternative empirical proxies for a single underlying institutional-quality construct rather than as independent regressors, with the rule-of-law specification reported as the primary measure and the remaining dimensions used as near-identical robustness variants (Kaufmann et al., 2011). This forestalls the concern that the choice of one governance dimension over another drives the findings.</w:t>
      </w:r>
    </w:p>
    <w:p>
      <w:pPr>
        <w:spacing w:after="60" w:line="276" w:lineRule="auto"/>
      </w:pPr>
      <w:r>
        <w:rPr>
          <w:b/>
        </w:rPr>
        <w:t xml:space="preserve">Table 3. Pairwise correlation matrix</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gridCol/>
        <w:gridCol/>
        <w:gridCol/>
        <w:gridCol/>
        <w:gridCol/>
        <w:gridCol/>
        <w:gridCol/>
        <w:gridCol/>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env_innov</w:t>
            </w:r>
          </w:p>
        </w:tc>
        <w:tc>
          <w:tcPr>
            <w:tcMar>
              <w:top w:w="20" w:type="dxa"/>
              <w:bottom w:w="20" w:type="dxa"/>
              <w:left w:w="40" w:type="dxa"/>
              <w:right w:w="40" w:type="dxa"/>
            </w:tcMar>
          </w:tcPr>
          <w:p>
            <w:pPr>
              <w:spacing w:after="0" w:line="240" w:lineRule="auto"/>
            </w:pPr>
            <w:r>
              <w:rPr>
                <w:b/>
                <w:sz w:val="16"/>
                <w:szCs w:val="16"/>
              </w:rPr>
              <w:t xml:space="preserve">post_paris</w:t>
            </w:r>
          </w:p>
        </w:tc>
        <w:tc>
          <w:tcPr>
            <w:tcMar>
              <w:top w:w="20" w:type="dxa"/>
              <w:bottom w:w="20" w:type="dxa"/>
              <w:left w:w="40" w:type="dxa"/>
              <w:right w:w="40" w:type="dxa"/>
            </w:tcMar>
          </w:tcPr>
          <w:p>
            <w:pPr>
              <w:spacing w:after="0" w:line="240" w:lineRule="auto"/>
            </w:pPr>
            <w:r>
              <w:rPr>
                <w:b/>
                <w:sz w:val="16"/>
                <w:szCs w:val="16"/>
              </w:rPr>
              <w:t xml:space="preserve">wgi_rl</w:t>
            </w:r>
          </w:p>
        </w:tc>
        <w:tc>
          <w:tcPr>
            <w:tcMar>
              <w:top w:w="20" w:type="dxa"/>
              <w:bottom w:w="20" w:type="dxa"/>
              <w:left w:w="40" w:type="dxa"/>
              <w:right w:w="40" w:type="dxa"/>
            </w:tcMar>
          </w:tcPr>
          <w:p>
            <w:pPr>
              <w:spacing w:after="0" w:line="240" w:lineRule="auto"/>
            </w:pPr>
            <w:r>
              <w:rPr>
                <w:b/>
                <w:sz w:val="16"/>
                <w:szCs w:val="16"/>
              </w:rPr>
              <w:t xml:space="preserve">wgi_rq</w:t>
            </w:r>
          </w:p>
        </w:tc>
        <w:tc>
          <w:tcPr>
            <w:tcMar>
              <w:top w:w="20" w:type="dxa"/>
              <w:bottom w:w="20" w:type="dxa"/>
              <w:left w:w="40" w:type="dxa"/>
              <w:right w:w="40" w:type="dxa"/>
            </w:tcMar>
          </w:tcPr>
          <w:p>
            <w:pPr>
              <w:spacing w:after="0" w:line="240" w:lineRule="auto"/>
            </w:pPr>
            <w:r>
              <w:rPr>
                <w:b/>
                <w:sz w:val="16"/>
                <w:szCs w:val="16"/>
              </w:rPr>
              <w:t xml:space="preserve">wgi_cc</w:t>
            </w:r>
          </w:p>
        </w:tc>
        <w:tc>
          <w:tcPr>
            <w:tcMar>
              <w:top w:w="20" w:type="dxa"/>
              <w:bottom w:w="20" w:type="dxa"/>
              <w:left w:w="40" w:type="dxa"/>
              <w:right w:w="40" w:type="dxa"/>
            </w:tcMar>
          </w:tcPr>
          <w:p>
            <w:pPr>
              <w:spacing w:after="0" w:line="240" w:lineRule="auto"/>
            </w:pPr>
            <w:r>
              <w:rPr>
                <w:b/>
                <w:sz w:val="16"/>
                <w:szCs w:val="16"/>
              </w:rPr>
              <w:t xml:space="preserve">wgi_ge</w:t>
            </w:r>
          </w:p>
        </w:tc>
        <w:tc>
          <w:tcPr>
            <w:tcMar>
              <w:top w:w="20" w:type="dxa"/>
              <w:bottom w:w="20" w:type="dxa"/>
              <w:left w:w="40" w:type="dxa"/>
              <w:right w:w="40" w:type="dxa"/>
            </w:tcMar>
          </w:tcPr>
          <w:p>
            <w:pPr>
              <w:spacing w:after="0" w:line="240" w:lineRule="auto"/>
            </w:pPr>
            <w:r>
              <w:rPr>
                <w:b/>
                <w:sz w:val="16"/>
                <w:szCs w:val="16"/>
              </w:rPr>
              <w:t xml:space="preserve">board_indep</w:t>
            </w:r>
          </w:p>
        </w:tc>
        <w:tc>
          <w:tcPr>
            <w:tcMar>
              <w:top w:w="20" w:type="dxa"/>
              <w:bottom w:w="20" w:type="dxa"/>
              <w:left w:w="40" w:type="dxa"/>
              <w:right w:w="40" w:type="dxa"/>
            </w:tcMar>
          </w:tcPr>
          <w:p>
            <w:pPr>
              <w:spacing w:after="0" w:line="240" w:lineRule="auto"/>
            </w:pPr>
            <w:r>
              <w:rPr>
                <w:b/>
                <w:sz w:val="16"/>
                <w:szCs w:val="16"/>
              </w:rPr>
              <w:t xml:space="preserve">gov_pillar</w:t>
            </w:r>
          </w:p>
        </w:tc>
        <w:tc>
          <w:tcPr>
            <w:tcMar>
              <w:top w:w="20" w:type="dxa"/>
              <w:bottom w:w="20" w:type="dxa"/>
              <w:left w:w="40" w:type="dxa"/>
              <w:right w:w="40" w:type="dxa"/>
            </w:tcMar>
          </w:tcPr>
          <w:p>
            <w:pPr>
              <w:spacing w:after="0" w:line="240" w:lineRule="auto"/>
            </w:pPr>
            <w:r>
              <w:rPr>
                <w:b/>
                <w:sz w:val="16"/>
                <w:szCs w:val="16"/>
              </w:rPr>
              <w:t xml:space="preserve">esg</w:t>
            </w:r>
          </w:p>
        </w:tc>
        <w:tc>
          <w:tcPr>
            <w:tcMar>
              <w:top w:w="20" w:type="dxa"/>
              <w:bottom w:w="20" w:type="dxa"/>
              <w:left w:w="40" w:type="dxa"/>
              <w:right w:w="40" w:type="dxa"/>
            </w:tcMar>
          </w:tcPr>
          <w:p>
            <w:pPr>
              <w:spacing w:after="0" w:line="240" w:lineRule="auto"/>
            </w:pPr>
            <w:r>
              <w:rPr>
                <w:b/>
                <w:sz w:val="16"/>
                <w:szCs w:val="16"/>
              </w:rPr>
              <w:t xml:space="preserve">firm_age</w:t>
            </w:r>
          </w:p>
        </w:tc>
        <w:tc>
          <w:tcPr>
            <w:tcMar>
              <w:top w:w="20" w:type="dxa"/>
              <w:bottom w:w="20" w:type="dxa"/>
              <w:left w:w="40" w:type="dxa"/>
              <w:right w:w="40" w:type="dxa"/>
            </w:tcMar>
          </w:tcPr>
          <w:p>
            <w:pPr>
              <w:spacing w:after="0" w:line="240" w:lineRule="auto"/>
            </w:pPr>
            <w:r>
              <w:rPr>
                <w:b/>
                <w:sz w:val="16"/>
                <w:szCs w:val="16"/>
              </w:rPr>
              <w:t xml:space="preserve">size</w:t>
            </w:r>
          </w:p>
        </w:tc>
        <w:tc>
          <w:tcPr>
            <w:tcMar>
              <w:top w:w="20" w:type="dxa"/>
              <w:bottom w:w="20" w:type="dxa"/>
              <w:left w:w="40" w:type="dxa"/>
              <w:right w:w="40" w:type="dxa"/>
            </w:tcMar>
          </w:tcPr>
          <w:p>
            <w:pPr>
              <w:spacing w:after="0" w:line="240" w:lineRule="auto"/>
            </w:pPr>
            <w:r>
              <w:rPr>
                <w:b/>
                <w:sz w:val="16"/>
                <w:szCs w:val="16"/>
              </w:rPr>
              <w:t xml:space="preserve">lev</w:t>
            </w:r>
          </w:p>
        </w:tc>
        <w:tc>
          <w:tcPr>
            <w:tcMar>
              <w:top w:w="20" w:type="dxa"/>
              <w:bottom w:w="20" w:type="dxa"/>
              <w:left w:w="40" w:type="dxa"/>
              <w:right w:w="40" w:type="dxa"/>
            </w:tcMar>
          </w:tcPr>
          <w:p>
            <w:pPr>
              <w:spacing w:after="0" w:line="240" w:lineRule="auto"/>
            </w:pPr>
            <w:r>
              <w:rPr>
                <w:b/>
                <w:sz w:val="16"/>
                <w:szCs w:val="16"/>
              </w:rPr>
              <w:t xml:space="preserve">roa</w:t>
            </w:r>
          </w:p>
        </w:tc>
      </w:tr>
      <w:tr>
        <w:tc>
          <w:tcPr>
            <w:tcMar>
              <w:top w:w="20" w:type="dxa"/>
              <w:bottom w:w="20" w:type="dxa"/>
              <w:left w:w="40" w:type="dxa"/>
              <w:right w:w="40" w:type="dxa"/>
            </w:tcMar>
          </w:tcPr>
          <w:p>
            <w:pPr>
              <w:spacing w:after="0" w:line="240" w:lineRule="auto"/>
            </w:pPr>
            <w:r>
              <w:rPr>
                <w:sz w:val="16"/>
                <w:szCs w:val="16"/>
              </w:rPr>
              <w:t xml:space="preserve">env_innov</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post_paris</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wgi_rl</w:t>
            </w:r>
          </w:p>
        </w:tc>
        <w:tc>
          <w:tcPr>
            <w:tcMar>
              <w:top w:w="20" w:type="dxa"/>
              <w:bottom w:w="20" w:type="dxa"/>
              <w:left w:w="40" w:type="dxa"/>
              <w:right w:w="40" w:type="dxa"/>
            </w:tcMar>
          </w:tcPr>
          <w:p>
            <w:pPr>
              <w:spacing w:after="0" w:line="240" w:lineRule="auto"/>
            </w:pPr>
            <w:r>
              <w:rPr>
                <w:sz w:val="16"/>
                <w:szCs w:val="16"/>
              </w:rPr>
              <w:t xml:space="preserve">0.11***</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wgi_rq</w:t>
            </w:r>
          </w:p>
        </w:tc>
        <w:tc>
          <w:tcPr>
            <w:tcMar>
              <w:top w:w="20" w:type="dxa"/>
              <w:bottom w:w="20" w:type="dxa"/>
              <w:left w:w="40" w:type="dxa"/>
              <w:right w:w="40" w:type="dxa"/>
            </w:tcMar>
          </w:tcPr>
          <w:p>
            <w:pPr>
              <w:spacing w:after="0" w:line="240" w:lineRule="auto"/>
            </w:pPr>
            <w:r>
              <w:rPr>
                <w:sz w:val="16"/>
                <w:szCs w:val="16"/>
              </w:rPr>
              <w:t xml:space="preserve">0.08***</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0.95***</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wgi_cc</w:t>
            </w:r>
          </w:p>
        </w:tc>
        <w:tc>
          <w:tcPr>
            <w:tcMar>
              <w:top w:w="20" w:type="dxa"/>
              <w:bottom w:w="20" w:type="dxa"/>
              <w:left w:w="40" w:type="dxa"/>
              <w:right w:w="40" w:type="dxa"/>
            </w:tcMar>
          </w:tcPr>
          <w:p>
            <w:pPr>
              <w:spacing w:after="0" w:line="240" w:lineRule="auto"/>
            </w:pPr>
            <w:r>
              <w:rPr>
                <w:sz w:val="16"/>
                <w:szCs w:val="16"/>
              </w:rPr>
              <w:t xml:space="preserve">0.09***</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0.95***</w:t>
            </w:r>
          </w:p>
        </w:tc>
        <w:tc>
          <w:tcPr>
            <w:tcMar>
              <w:top w:w="20" w:type="dxa"/>
              <w:bottom w:w="20" w:type="dxa"/>
              <w:left w:w="40" w:type="dxa"/>
              <w:right w:w="40" w:type="dxa"/>
            </w:tcMar>
          </w:tcPr>
          <w:p>
            <w:pPr>
              <w:spacing w:after="0" w:line="240" w:lineRule="auto"/>
            </w:pPr>
            <w:r>
              <w:rPr>
                <w:sz w:val="16"/>
                <w:szCs w:val="16"/>
              </w:rPr>
              <w:t xml:space="preserve">0.97***</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wgi_ge</w:t>
            </w:r>
          </w:p>
        </w:tc>
        <w:tc>
          <w:tcPr>
            <w:tcMar>
              <w:top w:w="20" w:type="dxa"/>
              <w:bottom w:w="20" w:type="dxa"/>
              <w:left w:w="40" w:type="dxa"/>
              <w:right w:w="40" w:type="dxa"/>
            </w:tcMar>
          </w:tcPr>
          <w:p>
            <w:pPr>
              <w:spacing w:after="0" w:line="240" w:lineRule="auto"/>
            </w:pPr>
            <w:r>
              <w:rPr>
                <w:sz w:val="16"/>
                <w:szCs w:val="16"/>
              </w:rPr>
              <w:t xml:space="preserve">0.11***</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0.94***</w:t>
            </w:r>
          </w:p>
        </w:tc>
        <w:tc>
          <w:tcPr>
            <w:tcMar>
              <w:top w:w="20" w:type="dxa"/>
              <w:bottom w:w="20" w:type="dxa"/>
              <w:left w:w="40" w:type="dxa"/>
              <w:right w:w="40" w:type="dxa"/>
            </w:tcMar>
          </w:tcPr>
          <w:p>
            <w:pPr>
              <w:spacing w:after="0" w:line="240" w:lineRule="auto"/>
            </w:pPr>
            <w:r>
              <w:rPr>
                <w:sz w:val="16"/>
                <w:szCs w:val="16"/>
              </w:rPr>
              <w:t xml:space="preserve">0.92***</w:t>
            </w:r>
          </w:p>
        </w:tc>
        <w:tc>
          <w:tcPr>
            <w:tcMar>
              <w:top w:w="20" w:type="dxa"/>
              <w:bottom w:w="20" w:type="dxa"/>
              <w:left w:w="40" w:type="dxa"/>
              <w:right w:w="40" w:type="dxa"/>
            </w:tcMar>
          </w:tcPr>
          <w:p>
            <w:pPr>
              <w:spacing w:after="0" w:line="240" w:lineRule="auto"/>
            </w:pPr>
            <w:r>
              <w:rPr>
                <w:sz w:val="16"/>
                <w:szCs w:val="16"/>
              </w:rPr>
              <w:t xml:space="preserve">0.92***</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board_indep</w:t>
            </w:r>
          </w:p>
        </w:tc>
        <w:tc>
          <w:tcPr>
            <w:tcMar>
              <w:top w:w="20" w:type="dxa"/>
              <w:bottom w:w="20" w:type="dxa"/>
              <w:left w:w="40" w:type="dxa"/>
              <w:right w:w="40" w:type="dxa"/>
            </w:tcMar>
          </w:tcPr>
          <w:p>
            <w:pPr>
              <w:spacing w:after="0" w:line="240" w:lineRule="auto"/>
            </w:pPr>
            <w:r>
              <w:rPr>
                <w:sz w:val="16"/>
                <w:szCs w:val="16"/>
              </w:rPr>
              <w:t xml:space="preserve">0.00</w:t>
            </w:r>
          </w:p>
        </w:tc>
        <w:tc>
          <w:tcPr>
            <w:tcMar>
              <w:top w:w="20" w:type="dxa"/>
              <w:bottom w:w="20" w:type="dxa"/>
              <w:left w:w="40" w:type="dxa"/>
              <w:right w:w="40" w:type="dxa"/>
            </w:tcMar>
          </w:tcPr>
          <w:p>
            <w:pPr>
              <w:spacing w:after="0" w:line="240" w:lineRule="auto"/>
            </w:pPr>
            <w:r>
              <w:rPr>
                <w:sz w:val="16"/>
                <w:szCs w:val="16"/>
              </w:rPr>
              <w:t xml:space="preserve">-0.00</w:t>
            </w:r>
          </w:p>
        </w:tc>
        <w:tc>
          <w:tcPr>
            <w:tcMar>
              <w:top w:w="20" w:type="dxa"/>
              <w:bottom w:w="20" w:type="dxa"/>
              <w:left w:w="40" w:type="dxa"/>
              <w:right w:w="40" w:type="dxa"/>
            </w:tcMar>
          </w:tcPr>
          <w:p>
            <w:pPr>
              <w:spacing w:after="0" w:line="240" w:lineRule="auto"/>
            </w:pPr>
            <w:r>
              <w:rPr>
                <w:sz w:val="16"/>
                <w:szCs w:val="16"/>
              </w:rPr>
              <w:t xml:space="preserve">0.23***</w:t>
            </w:r>
          </w:p>
        </w:tc>
        <w:tc>
          <w:tcPr>
            <w:tcMar>
              <w:top w:w="20" w:type="dxa"/>
              <w:bottom w:w="20" w:type="dxa"/>
              <w:left w:w="40" w:type="dxa"/>
              <w:right w:w="40" w:type="dxa"/>
            </w:tcMar>
          </w:tcPr>
          <w:p>
            <w:pPr>
              <w:spacing w:after="0" w:line="240" w:lineRule="auto"/>
            </w:pPr>
            <w:r>
              <w:rPr>
                <w:sz w:val="16"/>
                <w:szCs w:val="16"/>
              </w:rPr>
              <w:t xml:space="preserve">0.33***</w:t>
            </w:r>
          </w:p>
        </w:tc>
        <w:tc>
          <w:tcPr>
            <w:tcMar>
              <w:top w:w="20" w:type="dxa"/>
              <w:bottom w:w="20" w:type="dxa"/>
              <w:left w:w="40" w:type="dxa"/>
              <w:right w:w="40" w:type="dxa"/>
            </w:tcMar>
          </w:tcPr>
          <w:p>
            <w:pPr>
              <w:spacing w:after="0" w:line="240" w:lineRule="auto"/>
            </w:pPr>
            <w:r>
              <w:rPr>
                <w:sz w:val="16"/>
                <w:szCs w:val="16"/>
              </w:rPr>
              <w:t xml:space="preserve">0.26***</w:t>
            </w:r>
          </w:p>
        </w:tc>
        <w:tc>
          <w:tcPr>
            <w:tcMar>
              <w:top w:w="20" w:type="dxa"/>
              <w:bottom w:w="20" w:type="dxa"/>
              <w:left w:w="40" w:type="dxa"/>
              <w:right w:w="40" w:type="dxa"/>
            </w:tcMar>
          </w:tcPr>
          <w:p>
            <w:pPr>
              <w:spacing w:after="0" w:line="240" w:lineRule="auto"/>
            </w:pPr>
            <w:r>
              <w:rPr>
                <w:sz w:val="16"/>
                <w:szCs w:val="16"/>
              </w:rPr>
              <w:t xml:space="preserve">0.19***</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gov_pillar</w:t>
            </w:r>
          </w:p>
        </w:tc>
        <w:tc>
          <w:tcPr>
            <w:tcMar>
              <w:top w:w="20" w:type="dxa"/>
              <w:bottom w:w="20" w:type="dxa"/>
              <w:left w:w="40" w:type="dxa"/>
              <w:right w:w="40" w:type="dxa"/>
            </w:tcMar>
          </w:tcPr>
          <w:p>
            <w:pPr>
              <w:spacing w:after="0" w:line="240" w:lineRule="auto"/>
            </w:pPr>
            <w:r>
              <w:rPr>
                <w:sz w:val="16"/>
                <w:szCs w:val="16"/>
              </w:rPr>
              <w:t xml:space="preserve">0.20***</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0.09***</w:t>
            </w:r>
          </w:p>
        </w:tc>
        <w:tc>
          <w:tcPr>
            <w:tcMar>
              <w:top w:w="20" w:type="dxa"/>
              <w:bottom w:w="20" w:type="dxa"/>
              <w:left w:w="40" w:type="dxa"/>
              <w:right w:w="40" w:type="dxa"/>
            </w:tcMar>
          </w:tcPr>
          <w:p>
            <w:pPr>
              <w:spacing w:after="0" w:line="240" w:lineRule="auto"/>
            </w:pPr>
            <w:r>
              <w:rPr>
                <w:sz w:val="16"/>
                <w:szCs w:val="16"/>
              </w:rPr>
              <w:t xml:space="preserve">0.13***</w:t>
            </w:r>
          </w:p>
        </w:tc>
        <w:tc>
          <w:tcPr>
            <w:tcMar>
              <w:top w:w="20" w:type="dxa"/>
              <w:bottom w:w="20" w:type="dxa"/>
              <w:left w:w="40" w:type="dxa"/>
              <w:right w:w="40" w:type="dxa"/>
            </w:tcMar>
          </w:tcPr>
          <w:p>
            <w:pPr>
              <w:spacing w:after="0" w:line="240" w:lineRule="auto"/>
            </w:pPr>
            <w:r>
              <w:rPr>
                <w:sz w:val="16"/>
                <w:szCs w:val="16"/>
              </w:rPr>
              <w:t xml:space="preserve">0.12***</w:t>
            </w:r>
          </w:p>
        </w:tc>
        <w:tc>
          <w:tcPr>
            <w:tcMar>
              <w:top w:w="20" w:type="dxa"/>
              <w:bottom w:w="20" w:type="dxa"/>
              <w:left w:w="40" w:type="dxa"/>
              <w:right w:w="40" w:type="dxa"/>
            </w:tcMar>
          </w:tcPr>
          <w:p>
            <w:pPr>
              <w:spacing w:after="0" w:line="240" w:lineRule="auto"/>
            </w:pPr>
            <w:r>
              <w:rPr>
                <w:sz w:val="16"/>
                <w:szCs w:val="16"/>
              </w:rPr>
              <w:t xml:space="preserve">0.07***</w:t>
            </w:r>
          </w:p>
        </w:tc>
        <w:tc>
          <w:tcPr>
            <w:tcMar>
              <w:top w:w="20" w:type="dxa"/>
              <w:bottom w:w="20" w:type="dxa"/>
              <w:left w:w="40" w:type="dxa"/>
              <w:right w:w="40" w:type="dxa"/>
            </w:tcMar>
          </w:tcPr>
          <w:p>
            <w:pPr>
              <w:spacing w:after="0" w:line="240" w:lineRule="auto"/>
            </w:pPr>
            <w:r>
              <w:rPr>
                <w:sz w:val="16"/>
                <w:szCs w:val="16"/>
              </w:rPr>
              <w:t xml:space="preserve">0.39***</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esg</w:t>
            </w:r>
          </w:p>
        </w:tc>
        <w:tc>
          <w:tcPr>
            <w:tcMar>
              <w:top w:w="20" w:type="dxa"/>
              <w:bottom w:w="20" w:type="dxa"/>
              <w:left w:w="40" w:type="dxa"/>
              <w:right w:w="40" w:type="dxa"/>
            </w:tcMar>
          </w:tcPr>
          <w:p>
            <w:pPr>
              <w:spacing w:after="0" w:line="240" w:lineRule="auto"/>
            </w:pPr>
            <w:r>
              <w:rPr>
                <w:sz w:val="16"/>
                <w:szCs w:val="16"/>
              </w:rPr>
              <w:t xml:space="preserve">0.50***</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0.12***</w:t>
            </w:r>
          </w:p>
        </w:tc>
        <w:tc>
          <w:tcPr>
            <w:tcMar>
              <w:top w:w="20" w:type="dxa"/>
              <w:bottom w:w="20" w:type="dxa"/>
              <w:left w:w="40" w:type="dxa"/>
              <w:right w:w="40" w:type="dxa"/>
            </w:tcMar>
          </w:tcPr>
          <w:p>
            <w:pPr>
              <w:spacing w:after="0" w:line="240" w:lineRule="auto"/>
            </w:pPr>
            <w:r>
              <w:rPr>
                <w:sz w:val="16"/>
                <w:szCs w:val="16"/>
              </w:rPr>
              <w:t xml:space="preserve">0.13***</w:t>
            </w:r>
          </w:p>
        </w:tc>
        <w:tc>
          <w:tcPr>
            <w:tcMar>
              <w:top w:w="20" w:type="dxa"/>
              <w:bottom w:w="20" w:type="dxa"/>
              <w:left w:w="40" w:type="dxa"/>
              <w:right w:w="40" w:type="dxa"/>
            </w:tcMar>
          </w:tcPr>
          <w:p>
            <w:pPr>
              <w:spacing w:after="0" w:line="240" w:lineRule="auto"/>
            </w:pPr>
            <w:r>
              <w:rPr>
                <w:sz w:val="16"/>
                <w:szCs w:val="16"/>
              </w:rPr>
              <w:t xml:space="preserve">0.12***</w:t>
            </w:r>
          </w:p>
        </w:tc>
        <w:tc>
          <w:tcPr>
            <w:tcMar>
              <w:top w:w="20" w:type="dxa"/>
              <w:bottom w:w="20" w:type="dxa"/>
              <w:left w:w="40" w:type="dxa"/>
              <w:right w:w="40" w:type="dxa"/>
            </w:tcMar>
          </w:tcPr>
          <w:p>
            <w:pPr>
              <w:spacing w:after="0" w:line="240" w:lineRule="auto"/>
            </w:pPr>
            <w:r>
              <w:rPr>
                <w:sz w:val="16"/>
                <w:szCs w:val="16"/>
              </w:rPr>
              <w:t xml:space="preserve">0.08***</w:t>
            </w:r>
          </w:p>
        </w:tc>
        <w:tc>
          <w:tcPr>
            <w:tcMar>
              <w:top w:w="20" w:type="dxa"/>
              <w:bottom w:w="20" w:type="dxa"/>
              <w:left w:w="40" w:type="dxa"/>
              <w:right w:w="40" w:type="dxa"/>
            </w:tcMar>
          </w:tcPr>
          <w:p>
            <w:pPr>
              <w:spacing w:after="0" w:line="240" w:lineRule="auto"/>
            </w:pPr>
            <w:r>
              <w:rPr>
                <w:sz w:val="16"/>
                <w:szCs w:val="16"/>
              </w:rPr>
              <w:t xml:space="preserve">0.30***</w:t>
            </w:r>
          </w:p>
        </w:tc>
        <w:tc>
          <w:tcPr>
            <w:tcMar>
              <w:top w:w="20" w:type="dxa"/>
              <w:bottom w:w="20" w:type="dxa"/>
              <w:left w:w="40" w:type="dxa"/>
              <w:right w:w="40" w:type="dxa"/>
            </w:tcMar>
          </w:tcPr>
          <w:p>
            <w:pPr>
              <w:spacing w:after="0" w:line="240" w:lineRule="auto"/>
            </w:pPr>
            <w:r>
              <w:rPr>
                <w:sz w:val="16"/>
                <w:szCs w:val="16"/>
              </w:rPr>
              <w:t xml:space="preserve">0.70***</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firm_age</w:t>
            </w:r>
          </w:p>
        </w:tc>
        <w:tc>
          <w:tcPr>
            <w:tcMar>
              <w:top w:w="20" w:type="dxa"/>
              <w:bottom w:w="20" w:type="dxa"/>
              <w:left w:w="40" w:type="dxa"/>
              <w:right w:w="40" w:type="dxa"/>
            </w:tcMar>
          </w:tcPr>
          <w:p>
            <w:pPr>
              <w:spacing w:after="0" w:line="240" w:lineRule="auto"/>
            </w:pPr>
            <w:r>
              <w:rPr>
                <w:sz w:val="16"/>
                <w:szCs w:val="16"/>
              </w:rPr>
              <w:t xml:space="preserve">0.23***</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0.09***</w:t>
            </w:r>
          </w:p>
        </w:tc>
        <w:tc>
          <w:tcPr>
            <w:tcMar>
              <w:top w:w="20" w:type="dxa"/>
              <w:bottom w:w="20" w:type="dxa"/>
              <w:left w:w="40" w:type="dxa"/>
              <w:right w:w="40" w:type="dxa"/>
            </w:tcMar>
          </w:tcPr>
          <w:p>
            <w:pPr>
              <w:spacing w:after="0" w:line="240" w:lineRule="auto"/>
            </w:pPr>
            <w:r>
              <w:rPr>
                <w:sz w:val="16"/>
                <w:szCs w:val="16"/>
              </w:rPr>
              <w:t xml:space="preserve">0.02*</w:t>
            </w:r>
          </w:p>
        </w:tc>
        <w:tc>
          <w:tcPr>
            <w:tcMar>
              <w:top w:w="20" w:type="dxa"/>
              <w:bottom w:w="20" w:type="dxa"/>
              <w:left w:w="40" w:type="dxa"/>
              <w:right w:w="40" w:type="dxa"/>
            </w:tcMar>
          </w:tcPr>
          <w:p>
            <w:pPr>
              <w:spacing w:after="0" w:line="240" w:lineRule="auto"/>
            </w:pPr>
            <w:r>
              <w:rPr>
                <w:sz w:val="16"/>
                <w:szCs w:val="16"/>
              </w:rPr>
              <w:t xml:space="preserve">0.02*</w:t>
            </w:r>
          </w:p>
        </w:tc>
        <w:tc>
          <w:tcPr>
            <w:tcMar>
              <w:top w:w="20" w:type="dxa"/>
              <w:bottom w:w="20" w:type="dxa"/>
              <w:left w:w="40" w:type="dxa"/>
              <w:right w:w="40" w:type="dxa"/>
            </w:tcMar>
          </w:tcPr>
          <w:p>
            <w:pPr>
              <w:spacing w:after="0" w:line="240" w:lineRule="auto"/>
            </w:pPr>
            <w:r>
              <w:rPr>
                <w:sz w:val="16"/>
                <w:szCs w:val="16"/>
              </w:rPr>
              <w:t xml:space="preserve">0.10***</w:t>
            </w:r>
          </w:p>
        </w:tc>
        <w:tc>
          <w:tcPr>
            <w:tcMar>
              <w:top w:w="20" w:type="dxa"/>
              <w:bottom w:w="20" w:type="dxa"/>
              <w:left w:w="40" w:type="dxa"/>
              <w:right w:w="40" w:type="dxa"/>
            </w:tcMar>
          </w:tcPr>
          <w:p>
            <w:pPr>
              <w:spacing w:after="0" w:line="240" w:lineRule="auto"/>
            </w:pPr>
            <w:r>
              <w:rPr>
                <w:sz w:val="16"/>
                <w:szCs w:val="16"/>
              </w:rPr>
              <w:t xml:space="preserve">-0.24***</w:t>
            </w:r>
          </w:p>
        </w:tc>
        <w:tc>
          <w:tcPr>
            <w:tcMar>
              <w:top w:w="20" w:type="dxa"/>
              <w:bottom w:w="20" w:type="dxa"/>
              <w:left w:w="40" w:type="dxa"/>
              <w:right w:w="40" w:type="dxa"/>
            </w:tcMar>
          </w:tcPr>
          <w:p>
            <w:pPr>
              <w:spacing w:after="0" w:line="240" w:lineRule="auto"/>
            </w:pPr>
            <w:r>
              <w:rPr>
                <w:sz w:val="16"/>
                <w:szCs w:val="16"/>
              </w:rPr>
              <w:t xml:space="preserve">0.02*</w:t>
            </w:r>
          </w:p>
        </w:tc>
        <w:tc>
          <w:tcPr>
            <w:tcMar>
              <w:top w:w="20" w:type="dxa"/>
              <w:bottom w:w="20" w:type="dxa"/>
              <w:left w:w="40" w:type="dxa"/>
              <w:right w:w="40" w:type="dxa"/>
            </w:tcMar>
          </w:tcPr>
          <w:p>
            <w:pPr>
              <w:spacing w:after="0" w:line="240" w:lineRule="auto"/>
            </w:pPr>
            <w:r>
              <w:rPr>
                <w:sz w:val="16"/>
                <w:szCs w:val="16"/>
              </w:rPr>
              <w:t xml:space="preserve">0.14***</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size</w:t>
            </w:r>
          </w:p>
        </w:tc>
        <w:tc>
          <w:tcPr>
            <w:tcMar>
              <w:top w:w="20" w:type="dxa"/>
              <w:bottom w:w="20" w:type="dxa"/>
              <w:left w:w="40" w:type="dxa"/>
              <w:right w:w="40" w:type="dxa"/>
            </w:tcMar>
          </w:tcPr>
          <w:p>
            <w:pPr>
              <w:spacing w:after="0" w:line="240" w:lineRule="auto"/>
            </w:pPr>
            <w:r>
              <w:rPr>
                <w:sz w:val="16"/>
                <w:szCs w:val="16"/>
              </w:rPr>
              <w:t xml:space="preserve">0.36***</w:t>
            </w:r>
          </w:p>
        </w:tc>
        <w:tc>
          <w:tcPr>
            <w:tcMar>
              <w:top w:w="20" w:type="dxa"/>
              <w:bottom w:w="20" w:type="dxa"/>
              <w:left w:w="40" w:type="dxa"/>
              <w:right w:w="40" w:type="dxa"/>
            </w:tcMar>
          </w:tcPr>
          <w:p>
            <w:pPr>
              <w:spacing w:after="0" w:line="240" w:lineRule="auto"/>
            </w:pPr>
            <w:r>
              <w:rPr>
                <w:sz w:val="16"/>
                <w:szCs w:val="16"/>
              </w:rPr>
              <w:t xml:space="preserve">-0.00</w:t>
            </w:r>
          </w:p>
        </w:tc>
        <w:tc>
          <w:tcPr>
            <w:tcMar>
              <w:top w:w="20" w:type="dxa"/>
              <w:bottom w:w="20" w:type="dxa"/>
              <w:left w:w="40" w:type="dxa"/>
              <w:right w:w="40" w:type="dxa"/>
            </w:tcMar>
          </w:tcPr>
          <w:p>
            <w:pPr>
              <w:spacing w:after="0" w:line="240" w:lineRule="auto"/>
            </w:pPr>
            <w:r>
              <w:rPr>
                <w:sz w:val="16"/>
                <w:szCs w:val="16"/>
              </w:rPr>
              <w:t xml:space="preserve">0.06***</w:t>
            </w:r>
          </w:p>
        </w:tc>
        <w:tc>
          <w:tcPr>
            <w:tcMar>
              <w:top w:w="20" w:type="dxa"/>
              <w:bottom w:w="20" w:type="dxa"/>
              <w:left w:w="40" w:type="dxa"/>
              <w:right w:w="40" w:type="dxa"/>
            </w:tcMar>
          </w:tcPr>
          <w:p>
            <w:pPr>
              <w:spacing w:after="0" w:line="240" w:lineRule="auto"/>
            </w:pPr>
            <w:r>
              <w:rPr>
                <w:sz w:val="16"/>
                <w:szCs w:val="16"/>
              </w:rPr>
              <w:t xml:space="preserve">0.09***</w:t>
            </w:r>
          </w:p>
        </w:tc>
        <w:tc>
          <w:tcPr>
            <w:tcMar>
              <w:top w:w="20" w:type="dxa"/>
              <w:bottom w:w="20" w:type="dxa"/>
              <w:left w:w="40" w:type="dxa"/>
              <w:right w:w="40" w:type="dxa"/>
            </w:tcMar>
          </w:tcPr>
          <w:p>
            <w:pPr>
              <w:spacing w:after="0" w:line="240" w:lineRule="auto"/>
            </w:pPr>
            <w:r>
              <w:rPr>
                <w:sz w:val="16"/>
                <w:szCs w:val="16"/>
              </w:rPr>
              <w:t xml:space="preserve">0.07***</w:t>
            </w:r>
          </w:p>
        </w:tc>
        <w:tc>
          <w:tcPr>
            <w:tcMar>
              <w:top w:w="20" w:type="dxa"/>
              <w:bottom w:w="20" w:type="dxa"/>
              <w:left w:w="40" w:type="dxa"/>
              <w:right w:w="40" w:type="dxa"/>
            </w:tcMar>
          </w:tcPr>
          <w:p>
            <w:pPr>
              <w:spacing w:after="0" w:line="240" w:lineRule="auto"/>
            </w:pPr>
            <w:r>
              <w:rPr>
                <w:sz w:val="16"/>
                <w:szCs w:val="16"/>
              </w:rPr>
              <w:t xml:space="preserve">0.11***</w:t>
            </w:r>
          </w:p>
        </w:tc>
        <w:tc>
          <w:tcPr>
            <w:tcMar>
              <w:top w:w="20" w:type="dxa"/>
              <w:bottom w:w="20" w:type="dxa"/>
              <w:left w:w="40" w:type="dxa"/>
              <w:right w:w="40" w:type="dxa"/>
            </w:tcMar>
          </w:tcPr>
          <w:p>
            <w:pPr>
              <w:spacing w:after="0" w:line="240" w:lineRule="auto"/>
            </w:pPr>
            <w:r>
              <w:rPr>
                <w:sz w:val="16"/>
                <w:szCs w:val="16"/>
              </w:rPr>
              <w:t xml:space="preserve">0.14***</w:t>
            </w:r>
          </w:p>
        </w:tc>
        <w:tc>
          <w:tcPr>
            <w:tcMar>
              <w:top w:w="20" w:type="dxa"/>
              <w:bottom w:w="20" w:type="dxa"/>
              <w:left w:w="40" w:type="dxa"/>
              <w:right w:w="40" w:type="dxa"/>
            </w:tcMar>
          </w:tcPr>
          <w:p>
            <w:pPr>
              <w:spacing w:after="0" w:line="240" w:lineRule="auto"/>
            </w:pPr>
            <w:r>
              <w:rPr>
                <w:sz w:val="16"/>
                <w:szCs w:val="16"/>
              </w:rPr>
              <w:t xml:space="preserve">0.27***</w:t>
            </w:r>
          </w:p>
        </w:tc>
        <w:tc>
          <w:tcPr>
            <w:tcMar>
              <w:top w:w="20" w:type="dxa"/>
              <w:bottom w:w="20" w:type="dxa"/>
              <w:left w:w="40" w:type="dxa"/>
              <w:right w:w="40" w:type="dxa"/>
            </w:tcMar>
          </w:tcPr>
          <w:p>
            <w:pPr>
              <w:spacing w:after="0" w:line="240" w:lineRule="auto"/>
            </w:pPr>
            <w:r>
              <w:rPr>
                <w:sz w:val="16"/>
                <w:szCs w:val="16"/>
              </w:rPr>
              <w:t xml:space="preserve">0.47***</w:t>
            </w:r>
          </w:p>
        </w:tc>
        <w:tc>
          <w:tcPr>
            <w:tcMar>
              <w:top w:w="20" w:type="dxa"/>
              <w:bottom w:w="20" w:type="dxa"/>
              <w:left w:w="40" w:type="dxa"/>
              <w:right w:w="40" w:type="dxa"/>
            </w:tcMar>
          </w:tcPr>
          <w:p>
            <w:pPr>
              <w:spacing w:after="0" w:line="240" w:lineRule="auto"/>
            </w:pPr>
            <w:r>
              <w:rPr>
                <w:sz w:val="16"/>
                <w:szCs w:val="16"/>
              </w:rPr>
              <w:t xml:space="preserve">0.10***</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lev</w:t>
            </w:r>
          </w:p>
        </w:tc>
        <w:tc>
          <w:tcPr>
            <w:tcMar>
              <w:top w:w="20" w:type="dxa"/>
              <w:bottom w:w="20" w:type="dxa"/>
              <w:left w:w="40" w:type="dxa"/>
              <w:right w:w="40" w:type="dxa"/>
            </w:tcMar>
          </w:tcPr>
          <w:p>
            <w:pPr>
              <w:spacing w:after="0" w:line="240" w:lineRule="auto"/>
            </w:pPr>
            <w:r>
              <w:rPr>
                <w:sz w:val="16"/>
                <w:szCs w:val="16"/>
              </w:rPr>
              <w:t xml:space="preserve">0.03***</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0.00</w:t>
            </w:r>
          </w:p>
        </w:tc>
        <w:tc>
          <w:tcPr>
            <w:tcMar>
              <w:top w:w="20" w:type="dxa"/>
              <w:bottom w:w="20" w:type="dxa"/>
              <w:left w:w="40" w:type="dxa"/>
              <w:right w:w="40" w:type="dxa"/>
            </w:tcMar>
          </w:tcPr>
          <w:p>
            <w:pPr>
              <w:spacing w:after="0" w:line="240" w:lineRule="auto"/>
            </w:pPr>
            <w:r>
              <w:rPr>
                <w:sz w:val="16"/>
                <w:szCs w:val="16"/>
              </w:rPr>
              <w:t xml:space="preserve">0.03***</w:t>
            </w:r>
          </w:p>
        </w:tc>
        <w:tc>
          <w:tcPr>
            <w:tcMar>
              <w:top w:w="20" w:type="dxa"/>
              <w:bottom w:w="20" w:type="dxa"/>
              <w:left w:w="40" w:type="dxa"/>
              <w:right w:w="40" w:type="dxa"/>
            </w:tcMar>
          </w:tcPr>
          <w:p>
            <w:pPr>
              <w:spacing w:after="0" w:line="240" w:lineRule="auto"/>
            </w:pPr>
            <w:r>
              <w:rPr>
                <w:sz w:val="16"/>
                <w:szCs w:val="16"/>
              </w:rPr>
              <w:t xml:space="preserve">0.02*</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0.11***</w:t>
            </w:r>
          </w:p>
        </w:tc>
        <w:tc>
          <w:tcPr>
            <w:tcMar>
              <w:top w:w="20" w:type="dxa"/>
              <w:bottom w:w="20" w:type="dxa"/>
              <w:left w:w="40" w:type="dxa"/>
              <w:right w:w="40" w:type="dxa"/>
            </w:tcMar>
          </w:tcPr>
          <w:p>
            <w:pPr>
              <w:spacing w:after="0" w:line="240" w:lineRule="auto"/>
            </w:pPr>
            <w:r>
              <w:rPr>
                <w:sz w:val="16"/>
                <w:szCs w:val="16"/>
              </w:rPr>
              <w:t xml:space="preserve">0.04***</w:t>
            </w:r>
          </w:p>
        </w:tc>
        <w:tc>
          <w:tcPr>
            <w:tcMar>
              <w:top w:w="20" w:type="dxa"/>
              <w:bottom w:w="20" w:type="dxa"/>
              <w:left w:w="40" w:type="dxa"/>
              <w:right w:w="40" w:type="dxa"/>
            </w:tcMar>
          </w:tcPr>
          <w:p>
            <w:pPr>
              <w:spacing w:after="0" w:line="240" w:lineRule="auto"/>
            </w:pPr>
            <w:r>
              <w:rPr>
                <w:sz w:val="16"/>
                <w:szCs w:val="16"/>
              </w:rPr>
              <w:t xml:space="preserve">0.08***</w:t>
            </w:r>
          </w:p>
        </w:tc>
        <w:tc>
          <w:tcPr>
            <w:tcMar>
              <w:top w:w="20" w:type="dxa"/>
              <w:bottom w:w="20" w:type="dxa"/>
              <w:left w:w="40" w:type="dxa"/>
              <w:right w:w="40" w:type="dxa"/>
            </w:tcMar>
          </w:tcPr>
          <w:p>
            <w:pPr>
              <w:spacing w:after="0" w:line="240" w:lineRule="auto"/>
            </w:pPr>
            <w:r>
              <w:rPr>
                <w:sz w:val="16"/>
                <w:szCs w:val="16"/>
              </w:rPr>
              <w:t xml:space="preserve">-0.07***</w:t>
            </w:r>
          </w:p>
        </w:tc>
        <w:tc>
          <w:tcPr>
            <w:tcMar>
              <w:top w:w="20" w:type="dxa"/>
              <w:bottom w:w="20" w:type="dxa"/>
              <w:left w:w="40" w:type="dxa"/>
              <w:right w:w="40" w:type="dxa"/>
            </w:tcMar>
          </w:tcPr>
          <w:p>
            <w:pPr>
              <w:spacing w:after="0" w:line="240" w:lineRule="auto"/>
            </w:pPr>
            <w:r>
              <w:rPr>
                <w:sz w:val="16"/>
                <w:szCs w:val="16"/>
              </w:rPr>
              <w:t xml:space="preserve">0.16***</w:t>
            </w:r>
          </w:p>
        </w:tc>
        <w:tc>
          <w:tcPr>
            <w:tcMar>
              <w:top w:w="20" w:type="dxa"/>
              <w:bottom w:w="20" w:type="dxa"/>
              <w:left w:w="40" w:type="dxa"/>
              <w:right w:w="40" w:type="dxa"/>
            </w:tcMar>
          </w:tcPr>
          <w:p>
            <w:pPr>
              <w:spacing w:after="0" w:line="240" w:lineRule="auto"/>
            </w:pPr>
            <w:r>
              <w:rPr>
                <w:sz w:val="16"/>
                <w:szCs w:val="16"/>
              </w:rPr>
              <w:t xml:space="preserve">1.00</w:t>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roa</w:t>
            </w:r>
          </w:p>
        </w:tc>
        <w:tc>
          <w:tcPr>
            <w:tcMar>
              <w:top w:w="20" w:type="dxa"/>
              <w:bottom w:w="20" w:type="dxa"/>
              <w:left w:w="40" w:type="dxa"/>
              <w:right w:w="40" w:type="dxa"/>
            </w:tcMar>
          </w:tcPr>
          <w:p>
            <w:pPr>
              <w:spacing w:after="0" w:line="240" w:lineRule="auto"/>
            </w:pPr>
            <w:r>
              <w:rPr>
                <w:sz w:val="16"/>
                <w:szCs w:val="16"/>
              </w:rPr>
              <w:t xml:space="preserve">-0.07***</w:t>
            </w:r>
          </w:p>
        </w:tc>
        <w:tc>
          <w:tcPr>
            <w:tcMar>
              <w:top w:w="20" w:type="dxa"/>
              <w:bottom w:w="20" w:type="dxa"/>
              <w:left w:w="40" w:type="dxa"/>
              <w:right w:w="40" w:type="dxa"/>
            </w:tcMar>
          </w:tcPr>
          <w:p>
            <w:pPr>
              <w:spacing w:after="0" w:line="240" w:lineRule="auto"/>
            </w:pPr>
            <w:r>
              <w:rPr>
                <w:sz w:val="16"/>
                <w:szCs w:val="16"/>
              </w:rPr>
              <w:t xml:space="preserve">0.00</w:t>
            </w:r>
          </w:p>
        </w:tc>
        <w:tc>
          <w:tcPr>
            <w:tcMar>
              <w:top w:w="20" w:type="dxa"/>
              <w:bottom w:w="20" w:type="dxa"/>
              <w:left w:w="40" w:type="dxa"/>
              <w:right w:w="40" w:type="dxa"/>
            </w:tcMar>
          </w:tcPr>
          <w:p>
            <w:pPr>
              <w:spacing w:after="0" w:line="240" w:lineRule="auto"/>
            </w:pPr>
            <w:r>
              <w:rPr>
                <w:sz w:val="16"/>
                <w:szCs w:val="16"/>
              </w:rPr>
              <w:t xml:space="preserve">-0.07***</w:t>
            </w:r>
          </w:p>
        </w:tc>
        <w:tc>
          <w:tcPr>
            <w:tcMar>
              <w:top w:w="20" w:type="dxa"/>
              <w:bottom w:w="20" w:type="dxa"/>
              <w:left w:w="40" w:type="dxa"/>
              <w:right w:w="40" w:type="dxa"/>
            </w:tcMar>
          </w:tcPr>
          <w:p>
            <w:pPr>
              <w:spacing w:after="0" w:line="240" w:lineRule="auto"/>
            </w:pPr>
            <w:r>
              <w:rPr>
                <w:sz w:val="16"/>
                <w:szCs w:val="16"/>
              </w:rPr>
              <w:t xml:space="preserve">-0.04***</w:t>
            </w:r>
          </w:p>
        </w:tc>
        <w:tc>
          <w:tcPr>
            <w:tcMar>
              <w:top w:w="20" w:type="dxa"/>
              <w:bottom w:w="20" w:type="dxa"/>
              <w:left w:w="40" w:type="dxa"/>
              <w:right w:w="40" w:type="dxa"/>
            </w:tcMar>
          </w:tcPr>
          <w:p>
            <w:pPr>
              <w:spacing w:after="0" w:line="240" w:lineRule="auto"/>
            </w:pPr>
            <w:r>
              <w:rPr>
                <w:sz w:val="16"/>
                <w:szCs w:val="16"/>
              </w:rPr>
              <w:t xml:space="preserve">-0.06***</w:t>
            </w:r>
          </w:p>
        </w:tc>
        <w:tc>
          <w:tcPr>
            <w:tcMar>
              <w:top w:w="20" w:type="dxa"/>
              <w:bottom w:w="20" w:type="dxa"/>
              <w:left w:w="40" w:type="dxa"/>
              <w:right w:w="40" w:type="dxa"/>
            </w:tcMar>
          </w:tcPr>
          <w:p>
            <w:pPr>
              <w:spacing w:after="0" w:line="240" w:lineRule="auto"/>
            </w:pPr>
            <w:r>
              <w:rPr>
                <w:sz w:val="16"/>
                <w:szCs w:val="16"/>
              </w:rPr>
              <w:t xml:space="preserve">-0.06***</w:t>
            </w:r>
          </w:p>
        </w:tc>
        <w:tc>
          <w:tcPr>
            <w:tcMar>
              <w:top w:w="20" w:type="dxa"/>
              <w:bottom w:w="20" w:type="dxa"/>
              <w:left w:w="40" w:type="dxa"/>
              <w:right w:w="40" w:type="dxa"/>
            </w:tcMar>
          </w:tcPr>
          <w:p>
            <w:pPr>
              <w:spacing w:after="0" w:line="240" w:lineRule="auto"/>
            </w:pPr>
            <w:r>
              <w:rPr>
                <w:sz w:val="16"/>
                <w:szCs w:val="16"/>
              </w:rPr>
              <w:t xml:space="preserve">0.07***</w:t>
            </w:r>
          </w:p>
        </w:tc>
        <w:tc>
          <w:tcPr>
            <w:tcMar>
              <w:top w:w="20" w:type="dxa"/>
              <w:bottom w:w="20" w:type="dxa"/>
              <w:left w:w="40" w:type="dxa"/>
              <w:right w:w="40" w:type="dxa"/>
            </w:tcMar>
          </w:tcPr>
          <w:p>
            <w:pPr>
              <w:spacing w:after="0" w:line="240" w:lineRule="auto"/>
            </w:pPr>
            <w:r>
              <w:rPr>
                <w:sz w:val="16"/>
                <w:szCs w:val="16"/>
              </w:rPr>
              <w:t xml:space="preserve">0.01</w:t>
            </w:r>
          </w:p>
        </w:tc>
        <w:tc>
          <w:tcPr>
            <w:tcMar>
              <w:top w:w="20" w:type="dxa"/>
              <w:bottom w:w="20" w:type="dxa"/>
              <w:left w:w="40" w:type="dxa"/>
              <w:right w:w="40" w:type="dxa"/>
            </w:tcMar>
          </w:tcPr>
          <w:p>
            <w:pPr>
              <w:spacing w:after="0" w:line="240" w:lineRule="auto"/>
            </w:pPr>
            <w:r>
              <w:rPr>
                <w:sz w:val="16"/>
                <w:szCs w:val="16"/>
              </w:rPr>
              <w:t xml:space="preserve">0.00</w:t>
            </w:r>
          </w:p>
        </w:tc>
        <w:tc>
          <w:tcPr>
            <w:tcMar>
              <w:top w:w="20" w:type="dxa"/>
              <w:bottom w:w="20" w:type="dxa"/>
              <w:left w:w="40" w:type="dxa"/>
              <w:right w:w="40" w:type="dxa"/>
            </w:tcMar>
          </w:tcPr>
          <w:p>
            <w:pPr>
              <w:spacing w:after="0" w:line="240" w:lineRule="auto"/>
            </w:pPr>
            <w:r>
              <w:rPr>
                <w:sz w:val="16"/>
                <w:szCs w:val="16"/>
              </w:rPr>
              <w:t xml:space="preserve">0.00</w:t>
            </w:r>
          </w:p>
        </w:tc>
        <w:tc>
          <w:tcPr>
            <w:tcMar>
              <w:top w:w="20" w:type="dxa"/>
              <w:bottom w:w="20" w:type="dxa"/>
              <w:left w:w="40" w:type="dxa"/>
              <w:right w:w="40" w:type="dxa"/>
            </w:tcMar>
          </w:tcPr>
          <w:p>
            <w:pPr>
              <w:spacing w:after="0" w:line="240" w:lineRule="auto"/>
            </w:pPr>
            <w:r>
              <w:rPr>
                <w:sz w:val="16"/>
                <w:szCs w:val="16"/>
              </w:rPr>
              <w:t xml:space="preserve">-0.20***</w:t>
            </w:r>
          </w:p>
        </w:tc>
        <w:tc>
          <w:tcPr>
            <w:tcMar>
              <w:top w:w="20" w:type="dxa"/>
              <w:bottom w:w="20" w:type="dxa"/>
              <w:left w:w="40" w:type="dxa"/>
              <w:right w:w="40" w:type="dxa"/>
            </w:tcMar>
          </w:tcPr>
          <w:p>
            <w:pPr>
              <w:spacing w:after="0" w:line="240" w:lineRule="auto"/>
            </w:pPr>
            <w:r>
              <w:rPr>
                <w:sz w:val="16"/>
                <w:szCs w:val="16"/>
              </w:rPr>
              <w:t xml:space="preserve">-0.22***</w:t>
            </w:r>
          </w:p>
        </w:tc>
        <w:tc>
          <w:tcPr>
            <w:tcMar>
              <w:top w:w="20" w:type="dxa"/>
              <w:bottom w:w="20" w:type="dxa"/>
              <w:left w:w="40" w:type="dxa"/>
              <w:right w:w="40" w:type="dxa"/>
            </w:tcMar>
          </w:tcPr>
          <w:p>
            <w:pPr>
              <w:spacing w:after="0" w:line="240" w:lineRule="auto"/>
            </w:pPr>
            <w:r>
              <w:rPr>
                <w:sz w:val="16"/>
                <w:szCs w:val="16"/>
              </w:rPr>
              <w:t xml:space="preserve">1.00</w:t>
            </w:r>
          </w:p>
        </w:tc>
      </w:tr>
    </w:tbl>
    <w:p>
      <w:pPr>
        <w:spacing w:after="0"/>
      </w:pPr>
    </w:p>
    <w:p>
      <w:pPr>
        <w:spacing w:after="20" w:line="276" w:lineRule="auto"/>
      </w:pPr>
      <w:r>
        <w:rPr>
          <w:i/>
          <w:sz w:val="16"/>
          <w:szCs w:val="16"/>
        </w:rPr>
        <w:t xml:space="preserve">Listwise correlations. Stars omitted; see significance in regression tables.</w:t>
      </w:r>
    </w:p>
    <w:p>
      <w:pPr>
        <w:spacing w:after="20" w:line="276" w:lineRule="auto"/>
      </w:pPr>
      <w:r>
        <w:rPr>
          <w:i/>
          <w:sz w:val="16"/>
          <w:szCs w:val="16"/>
        </w:rPr>
        <w:t xml:space="preserve">* p &lt; 0.05, ** p &lt; 0.01, *** p &lt; 0.001</w:t>
      </w:r>
    </w:p>
    <w:p>
      <w:pPr>
        <w:spacing w:after="60" w:line="276" w:lineRule="auto"/>
      </w:pPr>
      <w:r>
        <w:t xml:space="preserve"/>
      </w:r>
    </w:p>
    <w:p>
      <w:pPr>
        <w:spacing w:before="160" w:after="100"/>
      </w:pPr>
      <w:r>
        <w:rPr>
          <w:b/>
          <w:i/>
          <w:sz w:val="24"/>
          <w:szCs w:val="24"/>
        </w:rPr>
        <w:t xml:space="preserve">4.3 Baseline results</w:t>
      </w:r>
    </w:p>
    <w:p>
      <w:pPr>
        <w:jc w:val="both"/>
        <w:spacing w:after="120" w:line="276" w:lineRule="auto"/>
      </w:pPr>
      <w:r>
        <w:t xml:space="preserve">Unconditional before-and-after means for the green-innovation score in three-year windows around each milestone appear in Table 4. Green innovation rises across most milestones: the before-and-after difference is positive and significant at the 1% level around Kyoto, at 11.35 points, Copenhagen, at 6.58 points, Doha, at 1.61 points, and Glasgow, at 2.09 points, though these increases largely track a global upward trend in environmental innovation rather than treaty-specific effects (Berrone et al., 2013). The Paris Agreement is the conspicuous exception: the before-and-after difference is positive yet negligible, at 0.36 points, and statistically insignificant (p = 0.462). This flat unconditional pattern sits where the literature divides. A regulation-induces-innovation reading anticipates a positive Paris effect (Ambec et al., 2013; Bettarelli et al., 2025; Makeeva et al., 2024; Porter &amp; van der Linde, 1995); a symbolic-response reading anticipates precisely this flat substantive pattern, since climate-patenting firms have been found to improve ratings without improving emissions (Bolton et al., 2023) and the post-Paris surge in pledges is consistent with reputational rather than decarbonization motives (Acharya et al., 2025). The positive yet insignificant unconditional Paris effect lends preliminary, descriptive support to the second reading and to Hypothesis 1. The time path underlying these milestone means is shown in Figure 2, where no visible break appears at the Paris milestone.</w:t>
      </w:r>
    </w:p>
    <w:p>
      <w:pPr>
        <w:spacing w:after="60" w:line="276" w:lineRule="auto"/>
      </w:pPr>
      <w:r>
        <w:rPr>
          <w:b/>
        </w:rPr>
        <w:t xml:space="preserve">Table 4. Before/after green innovation by treaty (unconditional means)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gridCol/>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BA</w:t>
            </w:r>
          </w:p>
        </w:tc>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Before</w:t>
            </w:r>
          </w:p>
        </w:tc>
        <w:tc>
          <w:tcPr>
            <w:tcMar>
              <w:top w:w="20" w:type="dxa"/>
              <w:bottom w:w="20" w:type="dxa"/>
              <w:left w:w="40" w:type="dxa"/>
              <w:right w:w="40" w:type="dxa"/>
            </w:tcMar>
          </w:tcPr>
          <w:p>
            <w:pPr>
              <w:spacing w:after="0" w:line="240" w:lineRule="auto"/>
            </w:pPr>
            <w:r>
              <w:rPr>
                <w:sz w:val="16"/>
                <w:szCs w:val="16"/>
              </w:rPr>
              <w:t xml:space="preserve">After</w:t>
            </w:r>
          </w:p>
        </w:tc>
        <w:tc>
          <w:tcPr>
            <w:tcMar>
              <w:top w:w="20" w:type="dxa"/>
              <w:bottom w:w="20" w:type="dxa"/>
              <w:left w:w="40" w:type="dxa"/>
              <w:right w:w="40" w:type="dxa"/>
            </w:tcMar>
          </w:tcPr>
          <w:p>
            <w:pPr>
              <w:spacing w:after="0" w:line="240" w:lineRule="auto"/>
            </w:pPr>
            <w:r>
              <w:rPr>
                <w:sz w:val="16"/>
                <w:szCs w:val="16"/>
              </w:rPr>
              <w:t xml:space="preserve">Diff</w:t>
            </w:r>
          </w:p>
        </w:tc>
        <w:tc>
          <w:tcPr>
            <w:tcMar>
              <w:top w:w="20" w:type="dxa"/>
              <w:bottom w:w="20" w:type="dxa"/>
              <w:left w:w="40" w:type="dxa"/>
              <w:right w:w="40" w:type="dxa"/>
            </w:tcMar>
          </w:tcPr>
          <w:p>
            <w:pPr>
              <w:spacing w:after="0" w:line="240" w:lineRule="auto"/>
            </w:pPr>
            <w:r>
              <w:rPr>
                <w:sz w:val="16"/>
                <w:szCs w:val="16"/>
              </w:rPr>
              <w:t xml:space="preserve">t</w:t>
            </w:r>
          </w:p>
        </w:tc>
        <w:tc>
          <w:tcPr>
            <w:tcMar>
              <w:top w:w="20" w:type="dxa"/>
              <w:bottom w:w="20" w:type="dxa"/>
              <w:left w:w="40" w:type="dxa"/>
              <w:right w:w="40" w:type="dxa"/>
            </w:tcMar>
          </w:tcPr>
          <w:p>
            <w:pPr>
              <w:spacing w:after="0" w:line="240" w:lineRule="auto"/>
            </w:pPr>
            <w:r>
              <w:rPr>
                <w:sz w:val="16"/>
                <w:szCs w:val="16"/>
              </w:rPr>
              <w:t xml:space="preserve">p</w:t>
            </w:r>
          </w:p>
        </w:tc>
        <w:tc>
          <w:tcPr>
            <w:tcMar>
              <w:top w:w="20" w:type="dxa"/>
              <w:bottom w:w="20" w:type="dxa"/>
              <w:left w:w="40" w:type="dxa"/>
              <w:right w:w="40" w:type="dxa"/>
            </w:tcMar>
          </w:tcPr>
          <w:p>
            <w:pPr>
              <w:spacing w:after="0" w:line="240" w:lineRule="auto"/>
            </w:pPr>
            <w:r>
              <w:rPr>
                <w:sz w:val="16"/>
                <w:szCs w:val="16"/>
              </w:rPr>
              <w:t xml:space="preserve">N</w:t>
            </w:r>
          </w:p>
        </w:tc>
      </w:tr>
      <w:tr>
        <w:tc>
          <w:tcPr>
            <w:tcMar>
              <w:top w:w="20" w:type="dxa"/>
              <w:bottom w:w="20" w:type="dxa"/>
              <w:left w:w="40" w:type="dxa"/>
              <w:right w:w="40" w:type="dxa"/>
            </w:tcMar>
          </w:tcPr>
          <w:p>
            <w:pPr>
              <w:spacing w:after="0" w:line="240" w:lineRule="auto"/>
            </w:pPr>
            <w:r>
              <w:rPr>
                <w:sz w:val="16"/>
                <w:szCs w:val="16"/>
              </w:rPr>
              <w:t xml:space="preserve">Kyoto</w:t>
            </w:r>
          </w:p>
        </w:tc>
        <w:tc>
          <w:tcPr>
            <w:tcMar>
              <w:top w:w="20" w:type="dxa"/>
              <w:bottom w:w="20" w:type="dxa"/>
              <w:left w:w="40" w:type="dxa"/>
              <w:right w:w="40" w:type="dxa"/>
            </w:tcMar>
          </w:tcPr>
          <w:p>
            <w:pPr>
              <w:spacing w:after="0" w:line="240" w:lineRule="auto"/>
            </w:pPr>
            <w:r>
              <w:rPr>
                <w:sz w:val="16"/>
                <w:szCs w:val="16"/>
              </w:rPr>
              <w:t xml:space="preserve">13.64</w:t>
            </w:r>
          </w:p>
        </w:tc>
        <w:tc>
          <w:tcPr>
            <w:tcMar>
              <w:top w:w="20" w:type="dxa"/>
              <w:bottom w:w="20" w:type="dxa"/>
              <w:left w:w="40" w:type="dxa"/>
              <w:right w:w="40" w:type="dxa"/>
            </w:tcMar>
          </w:tcPr>
          <w:p>
            <w:pPr>
              <w:spacing w:after="0" w:line="240" w:lineRule="auto"/>
            </w:pPr>
            <w:r>
              <w:rPr>
                <w:sz w:val="16"/>
                <w:szCs w:val="16"/>
              </w:rPr>
              <w:t xml:space="preserve">24.99</w:t>
            </w:r>
          </w:p>
        </w:tc>
        <w:tc>
          <w:tcPr>
            <w:tcMar>
              <w:top w:w="20" w:type="dxa"/>
              <w:bottom w:w="20" w:type="dxa"/>
              <w:left w:w="40" w:type="dxa"/>
              <w:right w:w="40" w:type="dxa"/>
            </w:tcMar>
          </w:tcPr>
          <w:p>
            <w:pPr>
              <w:spacing w:after="0" w:line="240" w:lineRule="auto"/>
            </w:pPr>
            <w:r>
              <w:rPr>
                <w:sz w:val="16"/>
                <w:szCs w:val="16"/>
              </w:rPr>
              <w:t xml:space="preserve">11.35</w:t>
            </w:r>
          </w:p>
        </w:tc>
        <w:tc>
          <w:tcPr>
            <w:tcMar>
              <w:top w:w="20" w:type="dxa"/>
              <w:bottom w:w="20" w:type="dxa"/>
              <w:left w:w="40" w:type="dxa"/>
              <w:right w:w="40" w:type="dxa"/>
            </w:tcMar>
          </w:tcPr>
          <w:p>
            <w:pPr>
              <w:spacing w:after="0" w:line="240" w:lineRule="auto"/>
            </w:pPr>
            <w:r>
              <w:rPr>
                <w:sz w:val="16"/>
                <w:szCs w:val="16"/>
              </w:rPr>
              <w:t xml:space="preserve">-12.25</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6745</w:t>
            </w:r>
          </w:p>
        </w:tc>
      </w:tr>
      <w:tr>
        <w:tc>
          <w:tcPr>
            <w:tcMar>
              <w:top w:w="20" w:type="dxa"/>
              <w:bottom w:w="20" w:type="dxa"/>
              <w:left w:w="40" w:type="dxa"/>
              <w:right w:w="40" w:type="dxa"/>
            </w:tcMar>
          </w:tcPr>
          <w:p>
            <w:pPr>
              <w:spacing w:after="0" w:line="240" w:lineRule="auto"/>
            </w:pPr>
            <w:r>
              <w:rPr>
                <w:sz w:val="16"/>
                <w:szCs w:val="16"/>
              </w:rPr>
              <w:t xml:space="preserve">Copenhagen</w:t>
            </w:r>
          </w:p>
        </w:tc>
        <w:tc>
          <w:tcPr>
            <w:tcMar>
              <w:top w:w="20" w:type="dxa"/>
              <w:bottom w:w="20" w:type="dxa"/>
              <w:left w:w="40" w:type="dxa"/>
              <w:right w:w="40" w:type="dxa"/>
            </w:tcMar>
          </w:tcPr>
          <w:p>
            <w:pPr>
              <w:spacing w:after="0" w:line="240" w:lineRule="auto"/>
            </w:pPr>
            <w:r>
              <w:rPr>
                <w:sz w:val="16"/>
                <w:szCs w:val="16"/>
              </w:rPr>
              <w:t xml:space="preserve">20.85</w:t>
            </w:r>
          </w:p>
        </w:tc>
        <w:tc>
          <w:tcPr>
            <w:tcMar>
              <w:top w:w="20" w:type="dxa"/>
              <w:bottom w:w="20" w:type="dxa"/>
              <w:left w:w="40" w:type="dxa"/>
              <w:right w:w="40" w:type="dxa"/>
            </w:tcMar>
          </w:tcPr>
          <w:p>
            <w:pPr>
              <w:spacing w:after="0" w:line="240" w:lineRule="auto"/>
            </w:pPr>
            <w:r>
              <w:rPr>
                <w:sz w:val="16"/>
                <w:szCs w:val="16"/>
              </w:rPr>
              <w:t xml:space="preserve">27.43</w:t>
            </w:r>
          </w:p>
        </w:tc>
        <w:tc>
          <w:tcPr>
            <w:tcMar>
              <w:top w:w="20" w:type="dxa"/>
              <w:bottom w:w="20" w:type="dxa"/>
              <w:left w:w="40" w:type="dxa"/>
              <w:right w:w="40" w:type="dxa"/>
            </w:tcMar>
          </w:tcPr>
          <w:p>
            <w:pPr>
              <w:spacing w:after="0" w:line="240" w:lineRule="auto"/>
            </w:pPr>
            <w:r>
              <w:rPr>
                <w:sz w:val="16"/>
                <w:szCs w:val="16"/>
              </w:rPr>
              <w:t xml:space="preserve">6.58</w:t>
            </w:r>
          </w:p>
        </w:tc>
        <w:tc>
          <w:tcPr>
            <w:tcMar>
              <w:top w:w="20" w:type="dxa"/>
              <w:bottom w:w="20" w:type="dxa"/>
              <w:left w:w="40" w:type="dxa"/>
              <w:right w:w="40" w:type="dxa"/>
            </w:tcMar>
          </w:tcPr>
          <w:p>
            <w:pPr>
              <w:spacing w:after="0" w:line="240" w:lineRule="auto"/>
            </w:pPr>
            <w:r>
              <w:rPr>
                <w:sz w:val="16"/>
                <w:szCs w:val="16"/>
              </w:rPr>
              <w:t xml:space="preserve">-11.02</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11588</w:t>
            </w:r>
          </w:p>
        </w:tc>
      </w:tr>
      <w:tr>
        <w:tc>
          <w:tcPr>
            <w:tcMar>
              <w:top w:w="20" w:type="dxa"/>
              <w:bottom w:w="20" w:type="dxa"/>
              <w:left w:w="40" w:type="dxa"/>
              <w:right w:w="40" w:type="dxa"/>
            </w:tcMar>
          </w:tcPr>
          <w:p>
            <w:pPr>
              <w:spacing w:after="0" w:line="240" w:lineRule="auto"/>
            </w:pPr>
            <w:r>
              <w:rPr>
                <w:sz w:val="16"/>
                <w:szCs w:val="16"/>
              </w:rPr>
              <w:t xml:space="preserve">Doha</w:t>
            </w:r>
          </w:p>
        </w:tc>
        <w:tc>
          <w:tcPr>
            <w:tcMar>
              <w:top w:w="20" w:type="dxa"/>
              <w:bottom w:w="20" w:type="dxa"/>
              <w:left w:w="40" w:type="dxa"/>
              <w:right w:w="40" w:type="dxa"/>
            </w:tcMar>
          </w:tcPr>
          <w:p>
            <w:pPr>
              <w:spacing w:after="0" w:line="240" w:lineRule="auto"/>
            </w:pPr>
            <w:r>
              <w:rPr>
                <w:sz w:val="16"/>
                <w:szCs w:val="16"/>
              </w:rPr>
              <w:t xml:space="preserve">27.43</w:t>
            </w:r>
          </w:p>
        </w:tc>
        <w:tc>
          <w:tcPr>
            <w:tcMar>
              <w:top w:w="20" w:type="dxa"/>
              <w:bottom w:w="20" w:type="dxa"/>
              <w:left w:w="40" w:type="dxa"/>
              <w:right w:w="40" w:type="dxa"/>
            </w:tcMar>
          </w:tcPr>
          <w:p>
            <w:pPr>
              <w:spacing w:after="0" w:line="240" w:lineRule="auto"/>
            </w:pPr>
            <w:r>
              <w:rPr>
                <w:sz w:val="16"/>
                <w:szCs w:val="16"/>
              </w:rPr>
              <w:t xml:space="preserve">29.04</w:t>
            </w:r>
          </w:p>
        </w:tc>
        <w:tc>
          <w:tcPr>
            <w:tcMar>
              <w:top w:w="20" w:type="dxa"/>
              <w:bottom w:w="20" w:type="dxa"/>
              <w:left w:w="40" w:type="dxa"/>
              <w:right w:w="40" w:type="dxa"/>
            </w:tcMar>
          </w:tcPr>
          <w:p>
            <w:pPr>
              <w:spacing w:after="0" w:line="240" w:lineRule="auto"/>
            </w:pPr>
            <w:r>
              <w:rPr>
                <w:sz w:val="16"/>
                <w:szCs w:val="16"/>
              </w:rPr>
              <w:t xml:space="preserve">1.61</w:t>
            </w:r>
          </w:p>
        </w:tc>
        <w:tc>
          <w:tcPr>
            <w:tcMar>
              <w:top w:w="20" w:type="dxa"/>
              <w:bottom w:w="20" w:type="dxa"/>
              <w:left w:w="40" w:type="dxa"/>
              <w:right w:w="40" w:type="dxa"/>
            </w:tcMar>
          </w:tcPr>
          <w:p>
            <w:pPr>
              <w:spacing w:after="0" w:line="240" w:lineRule="auto"/>
            </w:pPr>
            <w:r>
              <w:rPr>
                <w:sz w:val="16"/>
                <w:szCs w:val="16"/>
              </w:rPr>
              <w:t xml:space="preserve">-3.00</w:t>
            </w:r>
          </w:p>
        </w:tc>
        <w:tc>
          <w:tcPr>
            <w:tcMar>
              <w:top w:w="20" w:type="dxa"/>
              <w:bottom w:w="20" w:type="dxa"/>
              <w:left w:w="40" w:type="dxa"/>
              <w:right w:w="40" w:type="dxa"/>
            </w:tcMar>
          </w:tcPr>
          <w:p>
            <w:pPr>
              <w:spacing w:after="0" w:line="240" w:lineRule="auto"/>
            </w:pPr>
            <w:r>
              <w:rPr>
                <w:sz w:val="16"/>
                <w:szCs w:val="16"/>
              </w:rPr>
              <w:t xml:space="preserve">0.003</w:t>
            </w:r>
          </w:p>
        </w:tc>
        <w:tc>
          <w:tcPr>
            <w:tcMar>
              <w:top w:w="20" w:type="dxa"/>
              <w:bottom w:w="20" w:type="dxa"/>
              <w:left w:w="40" w:type="dxa"/>
              <w:right w:w="40" w:type="dxa"/>
            </w:tcMar>
          </w:tcPr>
          <w:p>
            <w:pPr>
              <w:spacing w:after="0" w:line="240" w:lineRule="auto"/>
            </w:pPr>
            <w:r>
              <w:rPr>
                <w:sz w:val="16"/>
                <w:szCs w:val="16"/>
              </w:rPr>
              <w:t xml:space="preserve">14897</w:t>
            </w:r>
          </w:p>
        </w:tc>
      </w:tr>
      <w:tr>
        <w:tc>
          <w:tcPr>
            <w:tcMar>
              <w:top w:w="20" w:type="dxa"/>
              <w:bottom w:w="20" w:type="dxa"/>
              <w:left w:w="40" w:type="dxa"/>
              <w:right w:w="40" w:type="dxa"/>
            </w:tcMar>
          </w:tcPr>
          <w:p>
            <w:pPr>
              <w:spacing w:after="0" w:line="240" w:lineRule="auto"/>
            </w:pPr>
            <w:r>
              <w:rPr>
                <w:sz w:val="16"/>
                <w:szCs w:val="16"/>
              </w:rPr>
              <w:t xml:space="preserve">Paris</w:t>
            </w:r>
          </w:p>
        </w:tc>
        <w:tc>
          <w:tcPr>
            <w:tcMar>
              <w:top w:w="20" w:type="dxa"/>
              <w:bottom w:w="20" w:type="dxa"/>
              <w:left w:w="40" w:type="dxa"/>
              <w:right w:w="40" w:type="dxa"/>
            </w:tcMar>
          </w:tcPr>
          <w:p>
            <w:pPr>
              <w:spacing w:after="0" w:line="240" w:lineRule="auto"/>
            </w:pPr>
            <w:r>
              <w:rPr>
                <w:sz w:val="16"/>
                <w:szCs w:val="16"/>
              </w:rPr>
              <w:t xml:space="preserve">29.04</w:t>
            </w:r>
          </w:p>
        </w:tc>
        <w:tc>
          <w:tcPr>
            <w:tcMar>
              <w:top w:w="20" w:type="dxa"/>
              <w:bottom w:w="20" w:type="dxa"/>
              <w:left w:w="40" w:type="dxa"/>
              <w:right w:w="40" w:type="dxa"/>
            </w:tcMar>
          </w:tcPr>
          <w:p>
            <w:pPr>
              <w:spacing w:after="0" w:line="240" w:lineRule="auto"/>
            </w:pPr>
            <w:r>
              <w:rPr>
                <w:sz w:val="16"/>
                <w:szCs w:val="16"/>
              </w:rPr>
              <w:t xml:space="preserve">29.40</w:t>
            </w:r>
          </w:p>
        </w:tc>
        <w:tc>
          <w:tcPr>
            <w:tcMar>
              <w:top w:w="20" w:type="dxa"/>
              <w:bottom w:w="20" w:type="dxa"/>
              <w:left w:w="40" w:type="dxa"/>
              <w:right w:w="40" w:type="dxa"/>
            </w:tcMar>
          </w:tcPr>
          <w:p>
            <w:pPr>
              <w:spacing w:after="0" w:line="240" w:lineRule="auto"/>
            </w:pPr>
            <w:r>
              <w:rPr>
                <w:sz w:val="16"/>
                <w:szCs w:val="16"/>
              </w:rPr>
              <w:t xml:space="preserve">0.36</w:t>
            </w:r>
          </w:p>
        </w:tc>
        <w:tc>
          <w:tcPr>
            <w:tcMar>
              <w:top w:w="20" w:type="dxa"/>
              <w:bottom w:w="20" w:type="dxa"/>
              <w:left w:w="40" w:type="dxa"/>
              <w:right w:w="40" w:type="dxa"/>
            </w:tcMar>
          </w:tcPr>
          <w:p>
            <w:pPr>
              <w:spacing w:after="0" w:line="240" w:lineRule="auto"/>
            </w:pPr>
            <w:r>
              <w:rPr>
                <w:sz w:val="16"/>
                <w:szCs w:val="16"/>
              </w:rPr>
              <w:t xml:space="preserve">-0.74</w:t>
            </w:r>
          </w:p>
        </w:tc>
        <w:tc>
          <w:tcPr>
            <w:tcMar>
              <w:top w:w="20" w:type="dxa"/>
              <w:bottom w:w="20" w:type="dxa"/>
              <w:left w:w="40" w:type="dxa"/>
              <w:right w:w="40" w:type="dxa"/>
            </w:tcMar>
          </w:tcPr>
          <w:p>
            <w:pPr>
              <w:spacing w:after="0" w:line="240" w:lineRule="auto"/>
            </w:pPr>
            <w:r>
              <w:rPr>
                <w:sz w:val="16"/>
                <w:szCs w:val="16"/>
              </w:rPr>
              <w:t xml:space="preserve">0.462</w:t>
            </w:r>
          </w:p>
        </w:tc>
        <w:tc>
          <w:tcPr>
            <w:tcMar>
              <w:top w:w="20" w:type="dxa"/>
              <w:bottom w:w="20" w:type="dxa"/>
              <w:left w:w="40" w:type="dxa"/>
              <w:right w:w="40" w:type="dxa"/>
            </w:tcMar>
          </w:tcPr>
          <w:p>
            <w:pPr>
              <w:spacing w:after="0" w:line="240" w:lineRule="auto"/>
            </w:pPr>
            <w:r>
              <w:rPr>
                <w:sz w:val="16"/>
                <w:szCs w:val="16"/>
              </w:rPr>
              <w:t xml:space="preserve">17645</w:t>
            </w:r>
          </w:p>
        </w:tc>
      </w:tr>
      <w:tr>
        <w:tc>
          <w:tcPr>
            <w:tcMar>
              <w:top w:w="20" w:type="dxa"/>
              <w:bottom w:w="20" w:type="dxa"/>
              <w:left w:w="40" w:type="dxa"/>
              <w:right w:w="40" w:type="dxa"/>
            </w:tcMar>
          </w:tcPr>
          <w:p>
            <w:pPr>
              <w:spacing w:after="0" w:line="240" w:lineRule="auto"/>
            </w:pPr>
            <w:r>
              <w:rPr>
                <w:sz w:val="16"/>
                <w:szCs w:val="16"/>
              </w:rPr>
              <w:t xml:space="preserve">Glasgow</w:t>
            </w:r>
          </w:p>
        </w:tc>
        <w:tc>
          <w:tcPr>
            <w:tcMar>
              <w:top w:w="20" w:type="dxa"/>
              <w:bottom w:w="20" w:type="dxa"/>
              <w:left w:w="40" w:type="dxa"/>
              <w:right w:w="40" w:type="dxa"/>
            </w:tcMar>
          </w:tcPr>
          <w:p>
            <w:pPr>
              <w:spacing w:after="0" w:line="240" w:lineRule="auto"/>
            </w:pPr>
            <w:r>
              <w:rPr>
                <w:sz w:val="16"/>
                <w:szCs w:val="16"/>
              </w:rPr>
              <w:t xml:space="preserve">31.24</w:t>
            </w:r>
          </w:p>
        </w:tc>
        <w:tc>
          <w:tcPr>
            <w:tcMar>
              <w:top w:w="20" w:type="dxa"/>
              <w:bottom w:w="20" w:type="dxa"/>
              <w:left w:w="40" w:type="dxa"/>
              <w:right w:w="40" w:type="dxa"/>
            </w:tcMar>
          </w:tcPr>
          <w:p>
            <w:pPr>
              <w:spacing w:after="0" w:line="240" w:lineRule="auto"/>
            </w:pPr>
            <w:r>
              <w:rPr>
                <w:sz w:val="16"/>
                <w:szCs w:val="16"/>
              </w:rPr>
              <w:t xml:space="preserve">33.33</w:t>
            </w:r>
          </w:p>
        </w:tc>
        <w:tc>
          <w:tcPr>
            <w:tcMar>
              <w:top w:w="20" w:type="dxa"/>
              <w:bottom w:w="20" w:type="dxa"/>
              <w:left w:w="40" w:type="dxa"/>
              <w:right w:w="40" w:type="dxa"/>
            </w:tcMar>
          </w:tcPr>
          <w:p>
            <w:pPr>
              <w:spacing w:after="0" w:line="240" w:lineRule="auto"/>
            </w:pPr>
            <w:r>
              <w:rPr>
                <w:sz w:val="16"/>
                <w:szCs w:val="16"/>
              </w:rPr>
              <w:t xml:space="preserve">2.09</w:t>
            </w:r>
          </w:p>
        </w:tc>
        <w:tc>
          <w:tcPr>
            <w:tcMar>
              <w:top w:w="20" w:type="dxa"/>
              <w:bottom w:w="20" w:type="dxa"/>
              <w:left w:w="40" w:type="dxa"/>
              <w:right w:w="40" w:type="dxa"/>
            </w:tcMar>
          </w:tcPr>
          <w:p>
            <w:pPr>
              <w:spacing w:after="0" w:line="240" w:lineRule="auto"/>
            </w:pPr>
            <w:r>
              <w:rPr>
                <w:sz w:val="16"/>
                <w:szCs w:val="16"/>
              </w:rPr>
              <w:t xml:space="preserve">-5.64</w:t>
            </w:r>
          </w:p>
        </w:tc>
        <w:tc>
          <w:tcPr>
            <w:tcMar>
              <w:top w:w="20" w:type="dxa"/>
              <w:bottom w:w="20" w:type="dxa"/>
              <w:left w:w="40" w:type="dxa"/>
              <w:right w:w="40" w:type="dxa"/>
            </w:tcMar>
          </w:tcPr>
          <w:p>
            <w:pPr>
              <w:spacing w:after="0" w:line="240" w:lineRule="auto"/>
            </w:pPr>
            <w:r>
              <w:rPr>
                <w:sz w:val="16"/>
                <w:szCs w:val="16"/>
              </w:rPr>
              <w:t xml:space="preserve">0.000</w:t>
            </w:r>
          </w:p>
        </w:tc>
        <w:tc>
          <w:tcPr>
            <w:tcMar>
              <w:top w:w="20" w:type="dxa"/>
              <w:bottom w:w="20" w:type="dxa"/>
              <w:left w:w="40" w:type="dxa"/>
              <w:right w:w="40" w:type="dxa"/>
            </w:tcMar>
          </w:tcPr>
          <w:p>
            <w:pPr>
              <w:spacing w:after="0" w:line="240" w:lineRule="auto"/>
            </w:pPr>
            <w:r>
              <w:rPr>
                <w:sz w:val="16"/>
                <w:szCs w:val="16"/>
              </w:rPr>
              <w:t xml:space="preserve">32105</w:t>
            </w:r>
          </w:p>
        </w:tc>
      </w:tr>
    </w:tbl>
    <w:p>
      <w:pPr>
        <w:spacing w:after="0"/>
      </w:pPr>
    </w:p>
    <w:p>
      <w:pPr>
        <w:spacing w:after="20" w:line="276" w:lineRule="auto"/>
      </w:pPr>
      <w:r>
        <w:rPr>
          <w:i/>
          <w:sz w:val="16"/>
          <w:szCs w:val="16"/>
        </w:rPr>
        <w:t xml:space="preserve">Welch t-test on green innovation, 3-year windows around each milestone. Differences are largely positive because of the global upward trend; they are NOT treaty-specific causal effects. Paris shows no significant jump.</w:t>
      </w:r>
    </w:p>
    <w:p>
      <w:pPr>
        <w:spacing w:after="60" w:line="276" w:lineRule="auto"/>
      </w:pPr>
      <w:r>
        <w:t xml:space="preserve"/>
      </w:r>
    </w:p>
    <w:p>
      <w:pPr>
        <w:jc w:val="both"/>
        <w:spacing w:after="120" w:line="276" w:lineRule="auto"/>
      </w:pPr>
      <w:r>
        <w:t xml:space="preserve">The average effect of the Paris Agreement on green innovation is estimated in Table 5. In the pooled specification the post-Paris indicator is positive and significant at the 5% level, at 24.63 points, though this reflects the secular upward trend rather than a treaty effect: once year fixed effects enter, the post-Paris level term is near-collinear with the common 2016 shock and is absorbed by construction, its coefficient statistically indistinguishable from zero under the fixed-effects specifications. With firm and year fixed effects and the full controls, the firm-level drivers of the raw score come into focus: the ESG score is positive and significant at the 1% level, at 19.56, and dominates the specification; the governance pillar is negative and significant at the 1% level, at -6.56; and firm size is positive and significant at the 1% level under country and year effects, at 1.85, while the substantive-innovation response attributable to the treaty remains statistically indistinguishable from zero. The prominence of the large, highly significant ESG coefficient is itself telling, consistent with the view that composite ESG constructs capture disclosure-oriented content more than operational change (Berg et al., 2022; Hawn &amp; Ioannou, 2016), and it foreshadows the separation developed below. Taken with the unconditional evidence, the absence of an average treaty effect aligns the data with the symbolic-response reading rather than the regulation-induces-innovation one and supports Hypothesis 1: there is no robust evidence of a positive average effect of the Paris Agreement on substantive green innovation.</w:t>
      </w:r>
    </w:p>
    <w:p>
      <w:pPr>
        <w:spacing w:after="60" w:line="276" w:lineRule="auto"/>
      </w:pPr>
      <w:r>
        <w:rPr>
          <w:b/>
        </w:rPr>
        <w:t xml:space="preserve">Table 5. Baseline difference-in-differences: Paris ratification and green innovation</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Pooled</w:t>
            </w:r>
          </w:p>
        </w:tc>
        <w:tc>
          <w:tcPr>
            <w:tcMar>
              <w:top w:w="20" w:type="dxa"/>
              <w:bottom w:w="20" w:type="dxa"/>
              <w:left w:w="40" w:type="dxa"/>
              <w:right w:w="40" w:type="dxa"/>
            </w:tcMar>
          </w:tcPr>
          <w:p>
            <w:pPr>
              <w:spacing w:after="0" w:line="240" w:lineRule="auto"/>
            </w:pPr>
            <w:r>
              <w:rPr>
                <w:b/>
                <w:sz w:val="16"/>
                <w:szCs w:val="16"/>
              </w:rPr>
              <w:t xml:space="preserve">Ctry+Yr FE</w:t>
            </w:r>
          </w:p>
        </w:tc>
        <w:tc>
          <w:tcPr>
            <w:tcMar>
              <w:top w:w="20" w:type="dxa"/>
              <w:bottom w:w="20" w:type="dxa"/>
              <w:left w:w="40" w:type="dxa"/>
              <w:right w:w="40" w:type="dxa"/>
            </w:tcMar>
          </w:tcPr>
          <w:p>
            <w:pPr>
              <w:spacing w:after="0" w:line="240" w:lineRule="auto"/>
            </w:pPr>
            <w:r>
              <w:rPr>
                <w:b/>
                <w:sz w:val="16"/>
                <w:szCs w:val="16"/>
              </w:rPr>
              <w:t xml:space="preserve">Firm+Yr FE</w:t>
            </w:r>
          </w:p>
        </w:tc>
        <w:tc>
          <w:tcPr>
            <w:tcMar>
              <w:top w:w="20" w:type="dxa"/>
              <w:bottom w:w="20" w:type="dxa"/>
              <w:left w:w="40" w:type="dxa"/>
              <w:right w:w="40" w:type="dxa"/>
            </w:tcMar>
          </w:tcPr>
          <w:p>
            <w:pPr>
              <w:spacing w:after="0" w:line="240" w:lineRule="auto"/>
            </w:pPr>
            <w:r>
              <w:rPr>
                <w:b/>
                <w:sz w:val="16"/>
                <w:szCs w:val="16"/>
              </w:rPr>
              <w:t xml:space="preserve">Firm+Yr FE+</w:t>
            </w:r>
          </w:p>
        </w:tc>
      </w:tr>
      <w:tr>
        <w:tc>
          <w:tcPr>
            <w:tcMar>
              <w:top w:w="20" w:type="dxa"/>
              <w:bottom w:w="20" w:type="dxa"/>
              <w:left w:w="40" w:type="dxa"/>
              <w:right w:w="40" w:type="dxa"/>
            </w:tcMar>
          </w:tcPr>
          <w:p>
            <w:pPr>
              <w:spacing w:after="0" w:line="240" w:lineRule="auto"/>
            </w:pPr>
            <w:r>
              <w:rPr>
                <w:sz w:val="16"/>
                <w:szCs w:val="16"/>
              </w:rPr>
              <w:t xml:space="preserve">Post-Paris (=1)</w:t>
            </w:r>
          </w:p>
        </w:tc>
        <w:tc>
          <w:tcPr>
            <w:tcMar>
              <w:top w:w="20" w:type="dxa"/>
              <w:bottom w:w="20" w:type="dxa"/>
              <w:left w:w="40" w:type="dxa"/>
              <w:right w:w="40" w:type="dxa"/>
            </w:tcMar>
          </w:tcPr>
          <w:p>
            <w:pPr>
              <w:spacing w:after="0" w:line="240" w:lineRule="auto"/>
            </w:pPr>
            <w:r>
              <w:rPr>
                <w:sz w:val="16"/>
                <w:szCs w:val="16"/>
              </w:rPr>
              <w:t xml:space="preserve">24.6299**</w:t>
            </w:r>
          </w:p>
        </w:tc>
        <w:tc>
          <w:tcPr>
            <w:tcMar>
              <w:top w:w="20" w:type="dxa"/>
              <w:bottom w:w="20" w:type="dxa"/>
              <w:left w:w="40" w:type="dxa"/>
              <w:right w:w="40" w:type="dxa"/>
            </w:tcMar>
          </w:tcPr>
          <w:p>
            <w:pPr>
              <w:spacing w:after="0" w:line="240" w:lineRule="auto"/>
            </w:pPr>
            <w:r>
              <w:rPr>
                <w:sz w:val="16"/>
                <w:szCs w:val="16"/>
              </w:rPr>
              <w:t xml:space="preserve">0.0000</w:t>
            </w:r>
          </w:p>
        </w:tc>
        <w:tc>
          <w:tcPr>
            <w:tcMar>
              <w:top w:w="20" w:type="dxa"/>
              <w:bottom w:w="20" w:type="dxa"/>
              <w:left w:w="40" w:type="dxa"/>
              <w:right w:w="40" w:type="dxa"/>
            </w:tcMar>
          </w:tcPr>
          <w:p>
            <w:pPr>
              <w:spacing w:after="0" w:line="240" w:lineRule="auto"/>
            </w:pPr>
            <w:r>
              <w:rPr>
                <w:sz w:val="16"/>
                <w:szCs w:val="16"/>
              </w:rPr>
              <w:t xml:space="preserve">0.0000</w:t>
            </w:r>
          </w:p>
        </w:tc>
        <w:tc>
          <w:tcPr>
            <w:tcMar>
              <w:top w:w="20" w:type="dxa"/>
              <w:bottom w:w="20" w:type="dxa"/>
              <w:left w:w="40" w:type="dxa"/>
              <w:right w:w="40" w:type="dxa"/>
            </w:tcMar>
          </w:tcPr>
          <w:p>
            <w:pPr>
              <w:spacing w:after="0" w:line="240" w:lineRule="auto"/>
            </w:pPr>
            <w:r>
              <w:rPr>
                <w:sz w:val="16"/>
                <w:szCs w:val="16"/>
              </w:rPr>
              <w:t xml:space="preserve">0.0000</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(11.4167)</w:t>
            </w:r>
          </w:p>
        </w:tc>
        <w:tc>
          <w:tcPr>
            <w:tcMar>
              <w:top w:w="20" w:type="dxa"/>
              <w:bottom w:w="20" w:type="dxa"/>
              <w:left w:w="40" w:type="dxa"/>
              <w:right w:w="40" w:type="dxa"/>
            </w:tcMar>
          </w:tcPr>
          <w:p>
            <w:pPr>
              <w:spacing w:after="0" w:line="240" w:lineRule="auto"/>
            </w:pPr>
            <w:r>
              <w:rPr>
                <w:sz w:val="16"/>
                <w:szCs w:val="16"/>
              </w:rPr>
              <w:t xml:space="preserve">(.)</w:t>
            </w:r>
          </w:p>
        </w:tc>
        <w:tc>
          <w:tcPr>
            <w:tcMar>
              <w:top w:w="20" w:type="dxa"/>
              <w:bottom w:w="20" w:type="dxa"/>
              <w:left w:w="40" w:type="dxa"/>
              <w:right w:w="40" w:type="dxa"/>
            </w:tcMar>
          </w:tcPr>
          <w:p>
            <w:pPr>
              <w:spacing w:after="0" w:line="240" w:lineRule="auto"/>
            </w:pPr>
            <w:r>
              <w:rPr>
                <w:sz w:val="16"/>
                <w:szCs w:val="16"/>
              </w:rPr>
              <w:t xml:space="preserve">(.)</w:t>
            </w:r>
          </w:p>
        </w:tc>
        <w:tc>
          <w:tcPr>
            <w:tcMar>
              <w:top w:w="20" w:type="dxa"/>
              <w:bottom w:w="20" w:type="dxa"/>
              <w:left w:w="40" w:type="dxa"/>
              <w:right w:w="40" w:type="dxa"/>
            </w:tcMar>
          </w:tcPr>
          <w:p>
            <w:pPr>
              <w:spacing w:after="0" w:line="240" w:lineRule="auto"/>
            </w:pPr>
            <w:r>
              <w:rPr>
                <w:sz w:val="16"/>
                <w:szCs w:val="16"/>
              </w:rPr>
              <w:t xml:space="preserve">(.)</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ln(Total assets)</w:t>
            </w:r>
          </w:p>
        </w:tc>
        <w:tc>
          <w:tcPr>
            <w:tcMar>
              <w:top w:w="20" w:type="dxa"/>
              <w:bottom w:w="20" w:type="dxa"/>
              <w:left w:w="40" w:type="dxa"/>
              <w:right w:w="40" w:type="dxa"/>
            </w:tcMar>
          </w:tcPr>
          <w:p>
            <w:pPr>
              <w:spacing w:after="0" w:line="240" w:lineRule="auto"/>
            </w:pPr>
            <w:r>
              <w:rPr>
                <w:sz w:val="16"/>
                <w:szCs w:val="16"/>
              </w:rPr>
              <w:t xml:space="preserve">6.8482***</w:t>
            </w:r>
          </w:p>
        </w:tc>
        <w:tc>
          <w:tcPr>
            <w:tcMar>
              <w:top w:w="20" w:type="dxa"/>
              <w:bottom w:w="20" w:type="dxa"/>
              <w:left w:w="40" w:type="dxa"/>
              <w:right w:w="40" w:type="dxa"/>
            </w:tcMar>
          </w:tcPr>
          <w:p>
            <w:pPr>
              <w:spacing w:after="0" w:line="240" w:lineRule="auto"/>
            </w:pPr>
            <w:r>
              <w:rPr>
                <w:sz w:val="16"/>
                <w:szCs w:val="16"/>
              </w:rPr>
              <w:t xml:space="preserve">6.9138***</w:t>
            </w:r>
          </w:p>
        </w:tc>
        <w:tc>
          <w:tcPr>
            <w:tcMar>
              <w:top w:w="20" w:type="dxa"/>
              <w:bottom w:w="20" w:type="dxa"/>
              <w:left w:w="40" w:type="dxa"/>
              <w:right w:w="40" w:type="dxa"/>
            </w:tcMar>
          </w:tcPr>
          <w:p>
            <w:pPr>
              <w:spacing w:after="0" w:line="240" w:lineRule="auto"/>
            </w:pPr>
            <w:r>
              <w:rPr>
                <w:sz w:val="16"/>
                <w:szCs w:val="16"/>
              </w:rPr>
              <w:t xml:space="preserve">1.8546***</w:t>
            </w:r>
          </w:p>
        </w:tc>
        <w:tc>
          <w:tcPr>
            <w:tcMar>
              <w:top w:w="20" w:type="dxa"/>
              <w:bottom w:w="20" w:type="dxa"/>
              <w:left w:w="40" w:type="dxa"/>
              <w:right w:w="40" w:type="dxa"/>
            </w:tcMar>
          </w:tcPr>
          <w:p>
            <w:pPr>
              <w:spacing w:after="0" w:line="240" w:lineRule="auto"/>
            </w:pPr>
            <w:r>
              <w:rPr>
                <w:sz w:val="16"/>
                <w:szCs w:val="16"/>
              </w:rPr>
              <w:t xml:space="preserve">-0.9100</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(0.2590)</w:t>
            </w:r>
          </w:p>
        </w:tc>
        <w:tc>
          <w:tcPr>
            <w:tcMar>
              <w:top w:w="20" w:type="dxa"/>
              <w:bottom w:w="20" w:type="dxa"/>
              <w:left w:w="40" w:type="dxa"/>
              <w:right w:w="40" w:type="dxa"/>
            </w:tcMar>
          </w:tcPr>
          <w:p>
            <w:pPr>
              <w:spacing w:after="0" w:line="240" w:lineRule="auto"/>
            </w:pPr>
            <w:r>
              <w:rPr>
                <w:sz w:val="16"/>
                <w:szCs w:val="16"/>
              </w:rPr>
              <w:t xml:space="preserve">(0.3010)</w:t>
            </w:r>
          </w:p>
        </w:tc>
        <w:tc>
          <w:tcPr>
            <w:tcMar>
              <w:top w:w="20" w:type="dxa"/>
              <w:bottom w:w="20" w:type="dxa"/>
              <w:left w:w="40" w:type="dxa"/>
              <w:right w:w="40" w:type="dxa"/>
            </w:tcMar>
          </w:tcPr>
          <w:p>
            <w:pPr>
              <w:spacing w:after="0" w:line="240" w:lineRule="auto"/>
            </w:pPr>
            <w:r>
              <w:rPr>
                <w:sz w:val="16"/>
                <w:szCs w:val="16"/>
              </w:rPr>
              <w:t xml:space="preserve">(0.7158)</w:t>
            </w:r>
          </w:p>
        </w:tc>
        <w:tc>
          <w:tcPr>
            <w:tcMar>
              <w:top w:w="20" w:type="dxa"/>
              <w:bottom w:w="20" w:type="dxa"/>
              <w:left w:w="40" w:type="dxa"/>
              <w:right w:w="40" w:type="dxa"/>
            </w:tcMar>
          </w:tcPr>
          <w:p>
            <w:pPr>
              <w:spacing w:after="0" w:line="240" w:lineRule="auto"/>
            </w:pPr>
            <w:r>
              <w:rPr>
                <w:sz w:val="16"/>
                <w:szCs w:val="16"/>
              </w:rPr>
              <w:t xml:space="preserve">(0.6110)</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Leverage</w:t>
            </w:r>
          </w:p>
        </w:tc>
        <w:tc>
          <w:tcPr>
            <w:tcMar>
              <w:top w:w="20" w:type="dxa"/>
              <w:bottom w:w="20" w:type="dxa"/>
              <w:left w:w="40" w:type="dxa"/>
              <w:right w:w="40" w:type="dxa"/>
            </w:tcMar>
          </w:tcPr>
          <w:p>
            <w:pPr>
              <w:spacing w:after="0" w:line="240" w:lineRule="auto"/>
            </w:pPr>
            <w:r>
              <w:rPr>
                <w:sz w:val="16"/>
                <w:szCs w:val="16"/>
              </w:rPr>
              <w:t xml:space="preserve">-3.9194</w:t>
            </w:r>
          </w:p>
        </w:tc>
        <w:tc>
          <w:tcPr>
            <w:tcMar>
              <w:top w:w="20" w:type="dxa"/>
              <w:bottom w:w="20" w:type="dxa"/>
              <w:left w:w="40" w:type="dxa"/>
              <w:right w:w="40" w:type="dxa"/>
            </w:tcMar>
          </w:tcPr>
          <w:p>
            <w:pPr>
              <w:spacing w:after="0" w:line="240" w:lineRule="auto"/>
            </w:pPr>
            <w:r>
              <w:rPr>
                <w:sz w:val="16"/>
                <w:szCs w:val="16"/>
              </w:rPr>
              <w:t xml:space="preserve">-1.0452</w:t>
            </w:r>
          </w:p>
        </w:tc>
        <w:tc>
          <w:tcPr>
            <w:tcMar>
              <w:top w:w="20" w:type="dxa"/>
              <w:bottom w:w="20" w:type="dxa"/>
              <w:left w:w="40" w:type="dxa"/>
              <w:right w:w="40" w:type="dxa"/>
            </w:tcMar>
          </w:tcPr>
          <w:p>
            <w:pPr>
              <w:spacing w:after="0" w:line="240" w:lineRule="auto"/>
            </w:pPr>
            <w:r>
              <w:rPr>
                <w:sz w:val="16"/>
                <w:szCs w:val="16"/>
              </w:rPr>
              <w:t xml:space="preserve">-2.3769</w:t>
            </w:r>
          </w:p>
        </w:tc>
        <w:tc>
          <w:tcPr>
            <w:tcMar>
              <w:top w:w="20" w:type="dxa"/>
              <w:bottom w:w="20" w:type="dxa"/>
              <w:left w:w="40" w:type="dxa"/>
              <w:right w:w="40" w:type="dxa"/>
            </w:tcMar>
          </w:tcPr>
          <w:p>
            <w:pPr>
              <w:spacing w:after="0" w:line="240" w:lineRule="auto"/>
            </w:pPr>
            <w:r>
              <w:rPr>
                <w:sz w:val="16"/>
                <w:szCs w:val="16"/>
              </w:rPr>
              <w:t xml:space="preserve">-1.0674</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(2.5983)</w:t>
            </w:r>
          </w:p>
        </w:tc>
        <w:tc>
          <w:tcPr>
            <w:tcMar>
              <w:top w:w="20" w:type="dxa"/>
              <w:bottom w:w="20" w:type="dxa"/>
              <w:left w:w="40" w:type="dxa"/>
              <w:right w:w="40" w:type="dxa"/>
            </w:tcMar>
          </w:tcPr>
          <w:p>
            <w:pPr>
              <w:spacing w:after="0" w:line="240" w:lineRule="auto"/>
            </w:pPr>
            <w:r>
              <w:rPr>
                <w:sz w:val="16"/>
                <w:szCs w:val="16"/>
              </w:rPr>
              <w:t xml:space="preserve">(2.6028)</w:t>
            </w:r>
          </w:p>
        </w:tc>
        <w:tc>
          <w:tcPr>
            <w:tcMar>
              <w:top w:w="20" w:type="dxa"/>
              <w:bottom w:w="20" w:type="dxa"/>
              <w:left w:w="40" w:type="dxa"/>
              <w:right w:w="40" w:type="dxa"/>
            </w:tcMar>
          </w:tcPr>
          <w:p>
            <w:pPr>
              <w:spacing w:after="0" w:line="240" w:lineRule="auto"/>
            </w:pPr>
            <w:r>
              <w:rPr>
                <w:sz w:val="16"/>
                <w:szCs w:val="16"/>
              </w:rPr>
              <w:t xml:space="preserve">(2.1957)</w:t>
            </w:r>
          </w:p>
        </w:tc>
        <w:tc>
          <w:tcPr>
            <w:tcMar>
              <w:top w:w="20" w:type="dxa"/>
              <w:bottom w:w="20" w:type="dxa"/>
              <w:left w:w="40" w:type="dxa"/>
              <w:right w:w="40" w:type="dxa"/>
            </w:tcMar>
          </w:tcPr>
          <w:p>
            <w:pPr>
              <w:spacing w:after="0" w:line="240" w:lineRule="auto"/>
            </w:pPr>
            <w:r>
              <w:rPr>
                <w:sz w:val="16"/>
                <w:szCs w:val="16"/>
              </w:rPr>
              <w:t xml:space="preserve">(2.0102)</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roa</w:t>
            </w:r>
          </w:p>
        </w:tc>
        <w:tc>
          <w:tcPr>
            <w:tcMar>
              <w:top w:w="20" w:type="dxa"/>
              <w:bottom w:w="20" w:type="dxa"/>
              <w:left w:w="40" w:type="dxa"/>
              <w:right w:w="40" w:type="dxa"/>
            </w:tcMar>
          </w:tcPr>
          <w:p>
            <w:pPr>
              <w:spacing w:after="0" w:line="240" w:lineRule="auto"/>
            </w:pPr>
            <w:r>
              <w:rPr>
                <w:sz w:val="16"/>
                <w:szCs w:val="16"/>
              </w:rPr>
              <w:t xml:space="preserve">-2.6451</w:t>
            </w:r>
          </w:p>
        </w:tc>
        <w:tc>
          <w:tcPr>
            <w:tcMar>
              <w:top w:w="20" w:type="dxa"/>
              <w:bottom w:w="20" w:type="dxa"/>
              <w:left w:w="40" w:type="dxa"/>
              <w:right w:w="40" w:type="dxa"/>
            </w:tcMar>
          </w:tcPr>
          <w:p>
            <w:pPr>
              <w:spacing w:after="0" w:line="240" w:lineRule="auto"/>
            </w:pPr>
            <w:r>
              <w:rPr>
                <w:sz w:val="16"/>
                <w:szCs w:val="16"/>
              </w:rPr>
              <w:t xml:space="preserve">3.2967</w:t>
            </w:r>
          </w:p>
        </w:tc>
        <w:tc>
          <w:tcPr>
            <w:tcMar>
              <w:top w:w="20" w:type="dxa"/>
              <w:bottom w:w="20" w:type="dxa"/>
              <w:left w:w="40" w:type="dxa"/>
              <w:right w:w="40" w:type="dxa"/>
            </w:tcMar>
          </w:tcPr>
          <w:p>
            <w:pPr>
              <w:spacing w:after="0" w:line="240" w:lineRule="auto"/>
            </w:pPr>
            <w:r>
              <w:rPr>
                <w:sz w:val="16"/>
                <w:szCs w:val="16"/>
              </w:rPr>
              <w:t xml:space="preserve">-4.8750</w:t>
            </w:r>
          </w:p>
        </w:tc>
        <w:tc>
          <w:tcPr>
            <w:tcMar>
              <w:top w:w="20" w:type="dxa"/>
              <w:bottom w:w="20" w:type="dxa"/>
              <w:left w:w="40" w:type="dxa"/>
              <w:right w:w="40" w:type="dxa"/>
            </w:tcMar>
          </w:tcPr>
          <w:p>
            <w:pPr>
              <w:spacing w:after="0" w:line="240" w:lineRule="auto"/>
            </w:pPr>
            <w:r>
              <w:rPr>
                <w:sz w:val="16"/>
                <w:szCs w:val="16"/>
              </w:rPr>
              <w:t xml:space="preserve">-0.4777</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(6.6924)</w:t>
            </w:r>
          </w:p>
        </w:tc>
        <w:tc>
          <w:tcPr>
            <w:tcMar>
              <w:top w:w="20" w:type="dxa"/>
              <w:bottom w:w="20" w:type="dxa"/>
              <w:left w:w="40" w:type="dxa"/>
              <w:right w:w="40" w:type="dxa"/>
            </w:tcMar>
          </w:tcPr>
          <w:p>
            <w:pPr>
              <w:spacing w:after="0" w:line="240" w:lineRule="auto"/>
            </w:pPr>
            <w:r>
              <w:rPr>
                <w:sz w:val="16"/>
                <w:szCs w:val="16"/>
              </w:rPr>
              <w:t xml:space="preserve">(6.7048)</w:t>
            </w:r>
          </w:p>
        </w:tc>
        <w:tc>
          <w:tcPr>
            <w:tcMar>
              <w:top w:w="20" w:type="dxa"/>
              <w:bottom w:w="20" w:type="dxa"/>
              <w:left w:w="40" w:type="dxa"/>
              <w:right w:w="40" w:type="dxa"/>
            </w:tcMar>
          </w:tcPr>
          <w:p>
            <w:pPr>
              <w:spacing w:after="0" w:line="240" w:lineRule="auto"/>
            </w:pPr>
            <w:r>
              <w:rPr>
                <w:sz w:val="16"/>
                <w:szCs w:val="16"/>
              </w:rPr>
              <w:t xml:space="preserve">(3.8075)</w:t>
            </w:r>
          </w:p>
        </w:tc>
        <w:tc>
          <w:tcPr>
            <w:tcMar>
              <w:top w:w="20" w:type="dxa"/>
              <w:bottom w:w="20" w:type="dxa"/>
              <w:left w:w="40" w:type="dxa"/>
              <w:right w:w="40" w:type="dxa"/>
            </w:tcMar>
          </w:tcPr>
          <w:p>
            <w:pPr>
              <w:spacing w:after="0" w:line="240" w:lineRule="auto"/>
            </w:pPr>
            <w:r>
              <w:rPr>
                <w:sz w:val="16"/>
                <w:szCs w:val="16"/>
              </w:rPr>
              <w:t xml:space="preserve">(3.4939)</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loss</w:t>
            </w:r>
          </w:p>
        </w:tc>
        <w:tc>
          <w:tcPr>
            <w:tcMar>
              <w:top w:w="20" w:type="dxa"/>
              <w:bottom w:w="20" w:type="dxa"/>
              <w:left w:w="40" w:type="dxa"/>
              <w:right w:w="40" w:type="dxa"/>
            </w:tcMar>
          </w:tcPr>
          <w:p>
            <w:pPr>
              <w:spacing w:after="0" w:line="240" w:lineRule="auto"/>
            </w:pPr>
            <w:r>
              <w:rPr>
                <w:sz w:val="16"/>
                <w:szCs w:val="16"/>
              </w:rPr>
              <w:t xml:space="preserve">-2.4817*</w:t>
            </w:r>
          </w:p>
        </w:tc>
        <w:tc>
          <w:tcPr>
            <w:tcMar>
              <w:top w:w="20" w:type="dxa"/>
              <w:bottom w:w="20" w:type="dxa"/>
              <w:left w:w="40" w:type="dxa"/>
              <w:right w:w="40" w:type="dxa"/>
            </w:tcMar>
          </w:tcPr>
          <w:p>
            <w:pPr>
              <w:spacing w:after="0" w:line="240" w:lineRule="auto"/>
            </w:pPr>
            <w:r>
              <w:rPr>
                <w:sz w:val="16"/>
                <w:szCs w:val="16"/>
              </w:rPr>
              <w:t xml:space="preserve">-2.5095**</w:t>
            </w:r>
          </w:p>
        </w:tc>
        <w:tc>
          <w:tcPr>
            <w:tcMar>
              <w:top w:w="20" w:type="dxa"/>
              <w:bottom w:w="20" w:type="dxa"/>
              <w:left w:w="40" w:type="dxa"/>
              <w:right w:w="40" w:type="dxa"/>
            </w:tcMar>
          </w:tcPr>
          <w:p>
            <w:pPr>
              <w:spacing w:after="0" w:line="240" w:lineRule="auto"/>
            </w:pPr>
            <w:r>
              <w:rPr>
                <w:sz w:val="16"/>
                <w:szCs w:val="16"/>
              </w:rPr>
              <w:t xml:space="preserve">-0.2243</w:t>
            </w:r>
          </w:p>
        </w:tc>
        <w:tc>
          <w:tcPr>
            <w:tcMar>
              <w:top w:w="20" w:type="dxa"/>
              <w:bottom w:w="20" w:type="dxa"/>
              <w:left w:w="40" w:type="dxa"/>
              <w:right w:w="40" w:type="dxa"/>
            </w:tcMar>
          </w:tcPr>
          <w:p>
            <w:pPr>
              <w:spacing w:after="0" w:line="240" w:lineRule="auto"/>
            </w:pPr>
            <w:r>
              <w:rPr>
                <w:sz w:val="16"/>
                <w:szCs w:val="16"/>
              </w:rPr>
              <w:t xml:space="preserve">-0.1662</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(1.2737)</w:t>
            </w:r>
          </w:p>
        </w:tc>
        <w:tc>
          <w:tcPr>
            <w:tcMar>
              <w:top w:w="20" w:type="dxa"/>
              <w:bottom w:w="20" w:type="dxa"/>
              <w:left w:w="40" w:type="dxa"/>
              <w:right w:w="40" w:type="dxa"/>
            </w:tcMar>
          </w:tcPr>
          <w:p>
            <w:pPr>
              <w:spacing w:after="0" w:line="240" w:lineRule="auto"/>
            </w:pPr>
            <w:r>
              <w:rPr>
                <w:sz w:val="16"/>
                <w:szCs w:val="16"/>
              </w:rPr>
              <w:t xml:space="preserve">(1.2482)</w:t>
            </w:r>
          </w:p>
        </w:tc>
        <w:tc>
          <w:tcPr>
            <w:tcMar>
              <w:top w:w="20" w:type="dxa"/>
              <w:bottom w:w="20" w:type="dxa"/>
              <w:left w:w="40" w:type="dxa"/>
              <w:right w:w="40" w:type="dxa"/>
            </w:tcMar>
          </w:tcPr>
          <w:p>
            <w:pPr>
              <w:spacing w:after="0" w:line="240" w:lineRule="auto"/>
            </w:pPr>
            <w:r>
              <w:rPr>
                <w:sz w:val="16"/>
                <w:szCs w:val="16"/>
              </w:rPr>
              <w:t xml:space="preserve">(0.6155)</w:t>
            </w:r>
          </w:p>
        </w:tc>
        <w:tc>
          <w:tcPr>
            <w:tcMar>
              <w:top w:w="20" w:type="dxa"/>
              <w:bottom w:w="20" w:type="dxa"/>
              <w:left w:w="40" w:type="dxa"/>
              <w:right w:w="40" w:type="dxa"/>
            </w:tcMar>
          </w:tcPr>
          <w:p>
            <w:pPr>
              <w:spacing w:after="0" w:line="240" w:lineRule="auto"/>
            </w:pPr>
            <w:r>
              <w:rPr>
                <w:sz w:val="16"/>
                <w:szCs w:val="16"/>
              </w:rPr>
              <w:t xml:space="preserve">(0.5887)</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mtb</w:t>
            </w:r>
          </w:p>
        </w:tc>
        <w:tc>
          <w:tcPr>
            <w:tcMar>
              <w:top w:w="20" w:type="dxa"/>
              <w:bottom w:w="20" w:type="dxa"/>
              <w:left w:w="40" w:type="dxa"/>
              <w:right w:w="40" w:type="dxa"/>
            </w:tcMar>
          </w:tcPr>
          <w:p>
            <w:pPr>
              <w:spacing w:after="0" w:line="240" w:lineRule="auto"/>
            </w:pPr>
            <w:r>
              <w:rPr>
                <w:sz w:val="16"/>
                <w:szCs w:val="16"/>
              </w:rPr>
              <w:t xml:space="preserve">-0.3848**</w:t>
            </w:r>
          </w:p>
        </w:tc>
        <w:tc>
          <w:tcPr>
            <w:tcMar>
              <w:top w:w="20" w:type="dxa"/>
              <w:bottom w:w="20" w:type="dxa"/>
              <w:left w:w="40" w:type="dxa"/>
              <w:right w:w="40" w:type="dxa"/>
            </w:tcMar>
          </w:tcPr>
          <w:p>
            <w:pPr>
              <w:spacing w:after="0" w:line="240" w:lineRule="auto"/>
            </w:pPr>
            <w:r>
              <w:rPr>
                <w:sz w:val="16"/>
                <w:szCs w:val="16"/>
              </w:rPr>
              <w:t xml:space="preserve">-0.0739</w:t>
            </w:r>
          </w:p>
        </w:tc>
        <w:tc>
          <w:tcPr>
            <w:tcMar>
              <w:top w:w="20" w:type="dxa"/>
              <w:bottom w:w="20" w:type="dxa"/>
              <w:left w:w="40" w:type="dxa"/>
              <w:right w:w="40" w:type="dxa"/>
            </w:tcMar>
          </w:tcPr>
          <w:p>
            <w:pPr>
              <w:spacing w:after="0" w:line="240" w:lineRule="auto"/>
            </w:pPr>
            <w:r>
              <w:rPr>
                <w:sz w:val="16"/>
                <w:szCs w:val="16"/>
              </w:rPr>
              <w:t xml:space="preserve">-0.0366</w:t>
            </w:r>
          </w:p>
        </w:tc>
        <w:tc>
          <w:tcPr>
            <w:tcMar>
              <w:top w:w="20" w:type="dxa"/>
              <w:bottom w:w="20" w:type="dxa"/>
              <w:left w:w="40" w:type="dxa"/>
              <w:right w:w="40" w:type="dxa"/>
            </w:tcMar>
          </w:tcPr>
          <w:p>
            <w:pPr>
              <w:spacing w:after="0" w:line="240" w:lineRule="auto"/>
            </w:pPr>
            <w:r>
              <w:rPr>
                <w:sz w:val="16"/>
                <w:szCs w:val="16"/>
              </w:rPr>
              <w:t xml:space="preserve">0.0423</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(0.1845)</w:t>
            </w:r>
          </w:p>
        </w:tc>
        <w:tc>
          <w:tcPr>
            <w:tcMar>
              <w:top w:w="20" w:type="dxa"/>
              <w:bottom w:w="20" w:type="dxa"/>
              <w:left w:w="40" w:type="dxa"/>
              <w:right w:w="40" w:type="dxa"/>
            </w:tcMar>
          </w:tcPr>
          <w:p>
            <w:pPr>
              <w:spacing w:after="0" w:line="240" w:lineRule="auto"/>
            </w:pPr>
            <w:r>
              <w:rPr>
                <w:sz w:val="16"/>
                <w:szCs w:val="16"/>
              </w:rPr>
              <w:t xml:space="preserve">(0.1930)</w:t>
            </w:r>
          </w:p>
        </w:tc>
        <w:tc>
          <w:tcPr>
            <w:tcMar>
              <w:top w:w="20" w:type="dxa"/>
              <w:bottom w:w="20" w:type="dxa"/>
              <w:left w:w="40" w:type="dxa"/>
              <w:right w:w="40" w:type="dxa"/>
            </w:tcMar>
          </w:tcPr>
          <w:p>
            <w:pPr>
              <w:spacing w:after="0" w:line="240" w:lineRule="auto"/>
            </w:pPr>
            <w:r>
              <w:rPr>
                <w:sz w:val="16"/>
                <w:szCs w:val="16"/>
              </w:rPr>
              <w:t xml:space="preserve">(0.1252)</w:t>
            </w:r>
          </w:p>
        </w:tc>
        <w:tc>
          <w:tcPr>
            <w:tcMar>
              <w:top w:w="20" w:type="dxa"/>
              <w:bottom w:w="20" w:type="dxa"/>
              <w:left w:w="40" w:type="dxa"/>
              <w:right w:w="40" w:type="dxa"/>
            </w:tcMar>
          </w:tcPr>
          <w:p>
            <w:pPr>
              <w:spacing w:after="0" w:line="240" w:lineRule="auto"/>
            </w:pPr>
            <w:r>
              <w:rPr>
                <w:sz w:val="16"/>
                <w:szCs w:val="16"/>
              </w:rPr>
              <w:t xml:space="preserve">(0.1147)</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Board independence (z)</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-0.3307</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(0.4358)</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Governance pillar (z)</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-6.5583***</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(0.4155)</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ESG score (z)</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19.5626***</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(0.7282)</w:t>
            </w:r>
          </w:p>
        </w:tc>
      </w:tr>
      <w:tr>
        <w:tc>
          <w:tcPr>
            <w:tcMar>
              <w:top w:w="20" w:type="dxa"/>
              <w:bottom w:w="20" w:type="dxa"/>
              <w:left w:w="40" w:type="dxa"/>
              <w:right w:w="40" w:type="dxa"/>
            </w:tcMar>
          </w:tcPr>
          <w:p>
            <w:pPr>
              <w:spacing w:after="0" w:line="240" w:lineRule="auto"/>
            </w:pPr>
            <w:r>
              <w:rPr>
                <w:sz w:val="16"/>
                <w:szCs w:val="16"/>
              </w:rPr>
              <w:t xml:space="preserve">Country FE</w:t>
            </w:r>
          </w:p>
        </w:tc>
        <w:tc>
          <w:tcPr>
            <w:tcMar>
              <w:top w:w="20" w:type="dxa"/>
              <w:bottom w:w="20" w:type="dxa"/>
              <w:left w:w="40" w:type="dxa"/>
              <w:right w:w="40" w:type="dxa"/>
            </w:tcMar>
          </w:tcPr>
          <w:p>
            <w:pPr>
              <w:spacing w:after="0" w:line="240" w:lineRule="auto"/>
            </w:pPr>
            <w:r>
              <w:rPr>
                <w:sz w:val="16"/>
                <w:szCs w:val="16"/>
              </w:rPr>
              <w:t xml:space="preserve">No</w:t>
            </w:r>
          </w:p>
        </w:tc>
        <w:tc>
          <w:tcPr>
            <w:tcMar>
              <w:top w:w="20" w:type="dxa"/>
              <w:bottom w:w="20" w:type="dxa"/>
              <w:left w:w="40" w:type="dxa"/>
              <w:right w:w="40" w:type="dxa"/>
            </w:tcMar>
          </w:tcPr>
          <w:p>
            <w:pPr>
              <w:spacing w:after="0" w:line="240" w:lineRule="auto"/>
            </w:pPr>
            <w:r>
              <w:rPr>
                <w:sz w:val="16"/>
                <w:szCs w:val="16"/>
              </w:rPr>
              <w:t xml:space="preserve">Yes</w:t>
            </w:r>
          </w:p>
        </w:tc>
        <w:tc>
          <w:tcPr>
            <w:tcMar>
              <w:top w:w="20" w:type="dxa"/>
              <w:bottom w:w="20" w:type="dxa"/>
              <w:left w:w="40" w:type="dxa"/>
              <w:right w:w="40" w:type="dxa"/>
            </w:tcMar>
          </w:tcPr>
          <w:p>
            <w:pPr>
              <w:spacing w:after="0" w:line="240" w:lineRule="auto"/>
            </w:pPr>
            <w:r>
              <w:rPr>
                <w:sz w:val="16"/>
                <w:szCs w:val="16"/>
              </w:rPr>
              <w:t xml:space="preserve">Absorbed</w:t>
            </w:r>
          </w:p>
        </w:tc>
        <w:tc>
          <w:tcPr>
            <w:tcMar>
              <w:top w:w="20" w:type="dxa"/>
              <w:bottom w:w="20" w:type="dxa"/>
              <w:left w:w="40" w:type="dxa"/>
              <w:right w:w="40" w:type="dxa"/>
            </w:tcMar>
          </w:tcPr>
          <w:p>
            <w:pPr>
              <w:spacing w:after="0" w:line="240" w:lineRule="auto"/>
            </w:pPr>
            <w:r>
              <w:rPr>
                <w:sz w:val="16"/>
                <w:szCs w:val="16"/>
              </w:rPr>
              <w:t xml:space="preserve">Absorbed</w:t>
            </w:r>
          </w:p>
        </w:tc>
      </w:tr>
      <w:tr>
        <w:tc>
          <w:tcPr>
            <w:tcMar>
              <w:top w:w="20" w:type="dxa"/>
              <w:bottom w:w="20" w:type="dxa"/>
              <w:left w:w="40" w:type="dxa"/>
              <w:right w:w="40" w:type="dxa"/>
            </w:tcMar>
          </w:tcPr>
          <w:p>
            <w:pPr>
              <w:spacing w:after="0" w:line="240" w:lineRule="auto"/>
            </w:pPr>
            <w:r>
              <w:rPr>
                <w:sz w:val="16"/>
                <w:szCs w:val="16"/>
              </w:rPr>
              <w:t xml:space="preserve">Year FE</w:t>
            </w:r>
          </w:p>
        </w:tc>
        <w:tc>
          <w:tcPr>
            <w:tcMar>
              <w:top w:w="20" w:type="dxa"/>
              <w:bottom w:w="20" w:type="dxa"/>
              <w:left w:w="40" w:type="dxa"/>
              <w:right w:w="40" w:type="dxa"/>
            </w:tcMar>
          </w:tcPr>
          <w:p>
            <w:pPr>
              <w:spacing w:after="0" w:line="240" w:lineRule="auto"/>
            </w:pPr>
            <w:r>
              <w:rPr>
                <w:sz w:val="16"/>
                <w:szCs w:val="16"/>
              </w:rPr>
              <w:t xml:space="preserve">No</w:t>
            </w:r>
          </w:p>
        </w:tc>
        <w:tc>
          <w:tcPr>
            <w:tcMar>
              <w:top w:w="20" w:type="dxa"/>
              <w:bottom w:w="20" w:type="dxa"/>
              <w:left w:w="40" w:type="dxa"/>
              <w:right w:w="40" w:type="dxa"/>
            </w:tcMar>
          </w:tcPr>
          <w:p>
            <w:pPr>
              <w:spacing w:after="0" w:line="240" w:lineRule="auto"/>
            </w:pPr>
            <w:r>
              <w:rPr>
                <w:sz w:val="16"/>
                <w:szCs w:val="16"/>
              </w:rPr>
              <w:t xml:space="preserve">Yes</w:t>
            </w:r>
          </w:p>
        </w:tc>
        <w:tc>
          <w:tcPr>
            <w:tcMar>
              <w:top w:w="20" w:type="dxa"/>
              <w:bottom w:w="20" w:type="dxa"/>
              <w:left w:w="40" w:type="dxa"/>
              <w:right w:w="40" w:type="dxa"/>
            </w:tcMar>
          </w:tcPr>
          <w:p>
            <w:pPr>
              <w:spacing w:after="0" w:line="240" w:lineRule="auto"/>
            </w:pPr>
            <w:r>
              <w:rPr>
                <w:sz w:val="16"/>
                <w:szCs w:val="16"/>
              </w:rPr>
              <w:t xml:space="preserve">Yes</w:t>
            </w:r>
          </w:p>
        </w:tc>
        <w:tc>
          <w:tcPr>
            <w:tcMar>
              <w:top w:w="20" w:type="dxa"/>
              <w:bottom w:w="20" w:type="dxa"/>
              <w:left w:w="40" w:type="dxa"/>
              <w:right w:w="40" w:type="dxa"/>
            </w:tcMar>
          </w:tcPr>
          <w:p>
            <w:pPr>
              <w:spacing w:after="0" w:line="240" w:lineRule="auto"/>
            </w:pPr>
            <w:r>
              <w:rPr>
                <w:sz w:val="16"/>
                <w:szCs w:val="16"/>
              </w:rPr>
              <w:t xml:space="preserve">Yes</w:t>
            </w:r>
          </w:p>
        </w:tc>
      </w:tr>
      <w:tr>
        <w:tc>
          <w:tcPr>
            <w:tcMar>
              <w:top w:w="20" w:type="dxa"/>
              <w:bottom w:w="20" w:type="dxa"/>
              <w:left w:w="40" w:type="dxa"/>
              <w:right w:w="40" w:type="dxa"/>
            </w:tcMar>
          </w:tcPr>
          <w:p>
            <w:pPr>
              <w:spacing w:after="0" w:line="240" w:lineRule="auto"/>
            </w:pPr>
            <w:r>
              <w:rPr>
                <w:sz w:val="16"/>
                <w:szCs w:val="16"/>
              </w:rPr>
              <w:t xml:space="preserve">Firm FE</w:t>
            </w:r>
          </w:p>
        </w:tc>
        <w:tc>
          <w:tcPr>
            <w:tcMar>
              <w:top w:w="20" w:type="dxa"/>
              <w:bottom w:w="20" w:type="dxa"/>
              <w:left w:w="40" w:type="dxa"/>
              <w:right w:w="40" w:type="dxa"/>
            </w:tcMar>
          </w:tcPr>
          <w:p>
            <w:pPr>
              <w:spacing w:after="0" w:line="240" w:lineRule="auto"/>
            </w:pPr>
            <w:r>
              <w:rPr>
                <w:sz w:val="16"/>
                <w:szCs w:val="16"/>
              </w:rPr>
              <w:t xml:space="preserve">No</w:t>
            </w:r>
          </w:p>
        </w:tc>
        <w:tc>
          <w:tcPr>
            <w:tcMar>
              <w:top w:w="20" w:type="dxa"/>
              <w:bottom w:w="20" w:type="dxa"/>
              <w:left w:w="40" w:type="dxa"/>
              <w:right w:w="40" w:type="dxa"/>
            </w:tcMar>
          </w:tcPr>
          <w:p>
            <w:pPr>
              <w:spacing w:after="0" w:line="240" w:lineRule="auto"/>
            </w:pPr>
            <w:r>
              <w:rPr>
                <w:sz w:val="16"/>
                <w:szCs w:val="16"/>
              </w:rPr>
              <w:t xml:space="preserve">No</w:t>
            </w:r>
          </w:p>
        </w:tc>
        <w:tc>
          <w:tcPr>
            <w:tcMar>
              <w:top w:w="20" w:type="dxa"/>
              <w:bottom w:w="20" w:type="dxa"/>
              <w:left w:w="40" w:type="dxa"/>
              <w:right w:w="40" w:type="dxa"/>
            </w:tcMar>
          </w:tcPr>
          <w:p>
            <w:pPr>
              <w:spacing w:after="0" w:line="240" w:lineRule="auto"/>
            </w:pPr>
            <w:r>
              <w:rPr>
                <w:sz w:val="16"/>
                <w:szCs w:val="16"/>
              </w:rPr>
              <w:t xml:space="preserve">Yes</w:t>
            </w:r>
          </w:p>
        </w:tc>
        <w:tc>
          <w:tcPr>
            <w:tcMar>
              <w:top w:w="20" w:type="dxa"/>
              <w:bottom w:w="20" w:type="dxa"/>
              <w:left w:w="40" w:type="dxa"/>
              <w:right w:w="40" w:type="dxa"/>
            </w:tcMar>
          </w:tcPr>
          <w:p>
            <w:pPr>
              <w:spacing w:after="0" w:line="240" w:lineRule="auto"/>
            </w:pPr>
            <w:r>
              <w:rPr>
                <w:sz w:val="16"/>
                <w:szCs w:val="16"/>
              </w:rPr>
              <w:t xml:space="preserve">Yes</w:t>
            </w:r>
          </w:p>
        </w:tc>
      </w:tr>
      <w:tr>
        <w:tc>
          <w:tcPr>
            <w:tcMar>
              <w:top w:w="20" w:type="dxa"/>
              <w:bottom w:w="20" w:type="dxa"/>
              <w:left w:w="40" w:type="dxa"/>
              <w:right w:w="40" w:type="dxa"/>
            </w:tcMar>
          </w:tcPr>
          <w:p>
            <w:pPr>
              <w:spacing w:after="0" w:line="240" w:lineRule="auto"/>
            </w:pPr>
            <w:r>
              <w:rPr>
                <w:sz w:val="16"/>
                <w:szCs w:val="16"/>
              </w:rPr>
              <w:t xml:space="preserve">Observations</w:t>
            </w:r>
          </w:p>
        </w:tc>
        <w:tc>
          <w:tcPr>
            <w:tcMar>
              <w:top w:w="20" w:type="dxa"/>
              <w:bottom w:w="20" w:type="dxa"/>
              <w:left w:w="40" w:type="dxa"/>
              <w:right w:w="40" w:type="dxa"/>
            </w:tcMar>
          </w:tcPr>
          <w:p>
            <w:pPr>
              <w:spacing w:after="0" w:line="240" w:lineRule="auto"/>
            </w:pPr>
            <w:r>
              <w:rPr>
                <w:sz w:val="16"/>
                <w:szCs w:val="16"/>
              </w:rPr>
              <w:t xml:space="preserve">23699</w:t>
            </w:r>
          </w:p>
        </w:tc>
        <w:tc>
          <w:tcPr>
            <w:tcMar>
              <w:top w:w="20" w:type="dxa"/>
              <w:bottom w:w="20" w:type="dxa"/>
              <w:left w:w="40" w:type="dxa"/>
              <w:right w:w="40" w:type="dxa"/>
            </w:tcMar>
          </w:tcPr>
          <w:p>
            <w:pPr>
              <w:spacing w:after="0" w:line="240" w:lineRule="auto"/>
            </w:pPr>
            <w:r>
              <w:rPr>
                <w:sz w:val="16"/>
                <w:szCs w:val="16"/>
              </w:rPr>
              <w:t xml:space="preserve">23699</w:t>
            </w:r>
          </w:p>
        </w:tc>
        <w:tc>
          <w:tcPr>
            <w:tcMar>
              <w:top w:w="20" w:type="dxa"/>
              <w:bottom w:w="20" w:type="dxa"/>
              <w:left w:w="40" w:type="dxa"/>
              <w:right w:w="40" w:type="dxa"/>
            </w:tcMar>
          </w:tcPr>
          <w:p>
            <w:pPr>
              <w:spacing w:after="0" w:line="240" w:lineRule="auto"/>
            </w:pPr>
            <w:r>
              <w:rPr>
                <w:sz w:val="16"/>
                <w:szCs w:val="16"/>
              </w:rPr>
              <w:t xml:space="preserve">22448</w:t>
            </w:r>
          </w:p>
        </w:tc>
        <w:tc>
          <w:tcPr>
            <w:tcMar>
              <w:top w:w="20" w:type="dxa"/>
              <w:bottom w:w="20" w:type="dxa"/>
              <w:left w:w="40" w:type="dxa"/>
              <w:right w:w="40" w:type="dxa"/>
            </w:tcMar>
          </w:tcPr>
          <w:p>
            <w:pPr>
              <w:spacing w:after="0" w:line="240" w:lineRule="auto"/>
            </w:pPr>
            <w:r>
              <w:rPr>
                <w:sz w:val="16"/>
                <w:szCs w:val="16"/>
              </w:rPr>
              <w:t xml:space="preserve">22361</w:t>
            </w:r>
          </w:p>
        </w:tc>
      </w:tr>
      <w:tr>
        <w:tc>
          <w:tcPr>
            <w:tcMar>
              <w:top w:w="20" w:type="dxa"/>
              <w:bottom w:w="20" w:type="dxa"/>
              <w:left w:w="40" w:type="dxa"/>
              <w:right w:w="40" w:type="dxa"/>
            </w:tcMar>
          </w:tcPr>
          <w:p>
            <w:pPr>
              <w:spacing w:after="0" w:line="240" w:lineRule="auto"/>
            </w:pPr>
            <w:r>
              <w:rPr>
                <w:sz w:val="16"/>
                <w:szCs w:val="16"/>
              </w:rPr>
              <w:t xml:space="preserve">R-squared</w:t>
            </w:r>
          </w:p>
        </w:tc>
        <w:tc>
          <w:tcPr>
            <w:tcMar>
              <w:top w:w="20" w:type="dxa"/>
              <w:bottom w:w="20" w:type="dxa"/>
              <w:left w:w="40" w:type="dxa"/>
              <w:right w:w="40" w:type="dxa"/>
            </w:tcMar>
          </w:tcPr>
          <w:p>
            <w:pPr>
              <w:spacing w:after="0" w:line="240" w:lineRule="auto"/>
            </w:pPr>
            <w:r>
              <w:rPr>
                <w:sz w:val="16"/>
                <w:szCs w:val="16"/>
              </w:rPr>
              <w:t xml:space="preserve">0.138</w:t>
            </w:r>
          </w:p>
        </w:tc>
        <w:tc>
          <w:tcPr>
            <w:tcMar>
              <w:top w:w="20" w:type="dxa"/>
              <w:bottom w:w="20" w:type="dxa"/>
              <w:left w:w="40" w:type="dxa"/>
              <w:right w:w="40" w:type="dxa"/>
            </w:tcMar>
          </w:tcPr>
          <w:p>
            <w:pPr>
              <w:spacing w:after="0" w:line="240" w:lineRule="auto"/>
            </w:pPr>
            <w:r>
              <w:rPr>
                <w:sz w:val="16"/>
                <w:szCs w:val="16"/>
              </w:rPr>
              <w:t xml:space="preserve">0.192</w:t>
            </w:r>
          </w:p>
        </w:tc>
        <w:tc>
          <w:tcPr>
            <w:tcMar>
              <w:top w:w="20" w:type="dxa"/>
              <w:bottom w:w="20" w:type="dxa"/>
              <w:left w:w="40" w:type="dxa"/>
              <w:right w:w="40" w:type="dxa"/>
            </w:tcMar>
          </w:tcPr>
          <w:p>
            <w:pPr>
              <w:spacing w:after="0" w:line="240" w:lineRule="auto"/>
            </w:pPr>
            <w:r>
              <w:rPr>
                <w:sz w:val="16"/>
                <w:szCs w:val="16"/>
              </w:rPr>
              <w:t xml:space="preserve">0.846</w:t>
            </w:r>
          </w:p>
        </w:tc>
        <w:tc>
          <w:tcPr>
            <w:tcMar>
              <w:top w:w="20" w:type="dxa"/>
              <w:bottom w:w="20" w:type="dxa"/>
              <w:left w:w="40" w:type="dxa"/>
              <w:right w:w="40" w:type="dxa"/>
            </w:tcMar>
          </w:tcPr>
          <w:p>
            <w:pPr>
              <w:spacing w:after="0" w:line="240" w:lineRule="auto"/>
            </w:pPr>
            <w:r>
              <w:rPr>
                <w:sz w:val="16"/>
                <w:szCs w:val="16"/>
              </w:rPr>
              <w:t xml:space="preserve">0.871</w:t>
            </w:r>
          </w:p>
        </w:tc>
      </w:tr>
    </w:tbl>
    <w:p>
      <w:pPr>
        <w:spacing w:after="0"/>
      </w:pPr>
    </w:p>
    <w:p>
      <w:pPr>
        <w:spacing w:after="20" w:line="276" w:lineRule="auto"/>
      </w:pPr>
      <w:r>
        <w:rPr>
          <w:i/>
          <w:sz w:val="16"/>
          <w:szCs w:val="16"/>
        </w:rPr>
        <w:t xml:space="preserve">Standard errors in parentheses</w:t>
      </w:r>
    </w:p>
    <w:p>
      <w:pPr>
        <w:spacing w:after="20" w:line="276" w:lineRule="auto"/>
      </w:pPr>
      <w:r>
        <w:rPr>
          <w:i/>
          <w:sz w:val="16"/>
          <w:szCs w:val="16"/>
        </w:rPr>
        <w:t xml:space="preserve">With year fixed effects, post-Paris is near-collinear with the common 2016 shock; once firm and ESG controls enter (column 4) the average effect is statistically indistinguishable from zero. Standard errors clustered by firm.</w:t>
      </w:r>
    </w:p>
    <w:p>
      <w:pPr>
        <w:spacing w:after="20" w:line="276" w:lineRule="auto"/>
      </w:pPr>
      <w:r>
        <w:rPr>
          <w:i/>
          <w:sz w:val="16"/>
          <w:szCs w:val="16"/>
        </w:rPr>
        <w:t xml:space="preserve">* p &lt; 0.10, ** p &lt; 0.05, *** p &lt; 0.01</w:t>
      </w:r>
    </w:p>
    <w:p>
      <w:pPr>
        <w:spacing w:after="60" w:line="276" w:lineRule="auto"/>
      </w:pPr>
      <w:r>
        <w:t xml:space="preserve"/>
      </w:r>
    </w:p>
    <w:p>
      <w:pPr>
        <w:spacing w:before="160" w:after="100"/>
      </w:pPr>
      <w:r>
        <w:rPr>
          <w:b/>
          <w:i/>
          <w:sz w:val="24"/>
          <w:szCs w:val="24"/>
        </w:rPr>
        <w:t xml:space="preserve">4.4 Additional analyses</w:t>
      </w:r>
    </w:p>
    <w:p>
      <w:pPr>
        <w:jc w:val="both"/>
        <w:spacing w:after="120" w:line="276" w:lineRule="auto"/>
      </w:pPr>
      <w:r>
        <w:t xml:space="preserve">Each post-milestone indicator is interacted with the time-invariant strong-rule-of-law indicator for the green-innovation outcome in Table 6. The Paris interaction is negative and statistically insignificant, at -0.21, as is the Doha interaction, at -1.53, whereas the Glasgow interaction is negative and significant at the 1% level, at -2.82. Whether a strong rule of law should raise the substantive response is, once more, contested: a deterrence-and-capability view expects stronger institutions to convert climate pressure into real innovation (Marquis et al., 2016; Yu et al., 2020), whereas a persistence view expects no such substantive gain, given that environmental decoupling endures even across well-regulated markets (Eliwa et al., 2023; Kercher et al., 2026). The evidence here sides with persistence: a strong rule of law does not raise the substantive-innovation response to Paris, and the negative, significant Glasgow term indicates that firms in stronger-institution settings do not out-innovate their weaker-institution peers after climate milestones. This sets up the central test, namely whether the institutional setting instead moves the symbolic channel.</w:t>
      </w:r>
    </w:p>
    <w:p>
      <w:pPr>
        <w:spacing w:after="60" w:line="276" w:lineRule="auto"/>
      </w:pPr>
      <w:r>
        <w:rPr>
          <w:b/>
        </w:rPr>
        <w:t xml:space="preserve">Table 6. Post-treaty x strong rule of law on green innovation (firm + year FE)</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Doha</w:t>
            </w:r>
          </w:p>
        </w:tc>
        <w:tc>
          <w:tcPr>
            <w:tcMar>
              <w:top w:w="20" w:type="dxa"/>
              <w:bottom w:w="20" w:type="dxa"/>
              <w:left w:w="40" w:type="dxa"/>
              <w:right w:w="40" w:type="dxa"/>
            </w:tcMar>
          </w:tcPr>
          <w:p>
            <w:pPr>
              <w:spacing w:after="0" w:line="240" w:lineRule="auto"/>
            </w:pPr>
            <w:r>
              <w:rPr>
                <w:b/>
                <w:sz w:val="16"/>
                <w:szCs w:val="16"/>
              </w:rPr>
              <w:t xml:space="preserve">Paris</w:t>
            </w:r>
          </w:p>
        </w:tc>
        <w:tc>
          <w:tcPr>
            <w:tcMar>
              <w:top w:w="20" w:type="dxa"/>
              <w:bottom w:w="20" w:type="dxa"/>
              <w:left w:w="40" w:type="dxa"/>
              <w:right w:w="40" w:type="dxa"/>
            </w:tcMar>
          </w:tcPr>
          <w:p>
            <w:pPr>
              <w:spacing w:after="0" w:line="240" w:lineRule="auto"/>
            </w:pPr>
            <w:r>
              <w:rPr>
                <w:b/>
                <w:sz w:val="16"/>
                <w:szCs w:val="16"/>
              </w:rPr>
              <w:t xml:space="preserve">Glasgow</w:t>
            </w:r>
          </w:p>
        </w:tc>
      </w:tr>
      <w:tr>
        <w:tc>
          <w:tcPr>
            <w:tcMar>
              <w:top w:w="20" w:type="dxa"/>
              <w:bottom w:w="20" w:type="dxa"/>
              <w:left w:w="40" w:type="dxa"/>
              <w:right w:w="40" w:type="dxa"/>
            </w:tcMar>
          </w:tcPr>
          <w:p>
            <w:pPr>
              <w:spacing w:after="0" w:line="240" w:lineRule="auto"/>
            </w:pPr>
            <w:r>
              <w:rPr>
                <w:sz w:val="16"/>
                <w:szCs w:val="16"/>
              </w:rPr>
              <w:t xml:space="preserve">Post-Doha x Strong RoL</w:t>
            </w:r>
          </w:p>
        </w:tc>
        <w:tc>
          <w:tcPr>
            <w:tcMar>
              <w:top w:w="20" w:type="dxa"/>
              <w:bottom w:w="20" w:type="dxa"/>
              <w:left w:w="40" w:type="dxa"/>
              <w:right w:w="40" w:type="dxa"/>
            </w:tcMar>
          </w:tcPr>
          <w:p>
            <w:pPr>
              <w:spacing w:after="0" w:line="240" w:lineRule="auto"/>
            </w:pPr>
            <w:r>
              <w:rPr>
                <w:sz w:val="16"/>
                <w:szCs w:val="16"/>
              </w:rPr>
              <w:t xml:space="preserve">-1.5278</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(1.7198)</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Post-Paris x Strong RoL</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-0.2065</w:t>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(0.7415)</w:t>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Post-Glasgow x Strong RoL</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-2.8208***</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(0.5567)</w:t>
            </w:r>
          </w:p>
        </w:tc>
      </w:tr>
      <w:tr>
        <w:tc>
          <w:tcPr>
            <w:tcMar>
              <w:top w:w="20" w:type="dxa"/>
              <w:bottom w:w="20" w:type="dxa"/>
              <w:left w:w="40" w:type="dxa"/>
              <w:right w:w="40" w:type="dxa"/>
            </w:tcMar>
          </w:tcPr>
          <w:p>
            <w:pPr>
              <w:spacing w:after="0" w:line="240" w:lineRule="auto"/>
            </w:pPr>
            <w:r>
              <w:rPr>
                <w:sz w:val="16"/>
                <w:szCs w:val="16"/>
              </w:rPr>
              <w:t xml:space="preserve">Observations</w:t>
            </w:r>
          </w:p>
        </w:tc>
        <w:tc>
          <w:tcPr>
            <w:tcMar>
              <w:top w:w="20" w:type="dxa"/>
              <w:bottom w:w="20" w:type="dxa"/>
              <w:left w:w="40" w:type="dxa"/>
              <w:right w:w="40" w:type="dxa"/>
            </w:tcMar>
          </w:tcPr>
          <w:p>
            <w:pPr>
              <w:spacing w:after="0" w:line="240" w:lineRule="auto"/>
            </w:pPr>
            <w:r>
              <w:rPr>
                <w:sz w:val="16"/>
                <w:szCs w:val="16"/>
              </w:rPr>
              <w:t xml:space="preserve">6686</w:t>
            </w:r>
          </w:p>
        </w:tc>
        <w:tc>
          <w:tcPr>
            <w:tcMar>
              <w:top w:w="20" w:type="dxa"/>
              <w:bottom w:w="20" w:type="dxa"/>
              <w:left w:w="40" w:type="dxa"/>
              <w:right w:w="40" w:type="dxa"/>
            </w:tcMar>
          </w:tcPr>
          <w:p>
            <w:pPr>
              <w:spacing w:after="0" w:line="240" w:lineRule="auto"/>
            </w:pPr>
            <w:r>
              <w:rPr>
                <w:sz w:val="16"/>
                <w:szCs w:val="16"/>
              </w:rPr>
              <w:t xml:space="preserve">14451</w:t>
            </w:r>
          </w:p>
        </w:tc>
        <w:tc>
          <w:tcPr>
            <w:tcMar>
              <w:top w:w="20" w:type="dxa"/>
              <w:bottom w:w="20" w:type="dxa"/>
              <w:left w:w="40" w:type="dxa"/>
              <w:right w:w="40" w:type="dxa"/>
            </w:tcMar>
          </w:tcPr>
          <w:p>
            <w:pPr>
              <w:spacing w:after="0" w:line="240" w:lineRule="auto"/>
            </w:pPr>
            <w:r>
              <w:rPr>
                <w:sz w:val="16"/>
                <w:szCs w:val="16"/>
              </w:rPr>
              <w:t xml:space="preserve">26385</w:t>
            </w:r>
          </w:p>
        </w:tc>
      </w:tr>
      <w:tr>
        <w:tc>
          <w:tcPr>
            <w:tcMar>
              <w:top w:w="20" w:type="dxa"/>
              <w:bottom w:w="20" w:type="dxa"/>
              <w:left w:w="40" w:type="dxa"/>
              <w:right w:w="40" w:type="dxa"/>
            </w:tcMar>
          </w:tcPr>
          <w:p>
            <w:pPr>
              <w:spacing w:after="0" w:line="240" w:lineRule="auto"/>
            </w:pPr>
            <w:r>
              <w:rPr>
                <w:sz w:val="16"/>
                <w:szCs w:val="16"/>
              </w:rPr>
              <w:t xml:space="preserve">R-squared</w:t>
            </w:r>
          </w:p>
        </w:tc>
        <w:tc>
          <w:tcPr>
            <w:tcMar>
              <w:top w:w="20" w:type="dxa"/>
              <w:bottom w:w="20" w:type="dxa"/>
              <w:left w:w="40" w:type="dxa"/>
              <w:right w:w="40" w:type="dxa"/>
            </w:tcMar>
          </w:tcPr>
          <w:p>
            <w:pPr>
              <w:spacing w:after="0" w:line="240" w:lineRule="auto"/>
            </w:pPr>
            <w:r>
              <w:rPr>
                <w:sz w:val="16"/>
                <w:szCs w:val="16"/>
              </w:rPr>
              <w:t xml:space="preserve">0.945</w:t>
            </w:r>
          </w:p>
        </w:tc>
        <w:tc>
          <w:tcPr>
            <w:tcMar>
              <w:top w:w="20" w:type="dxa"/>
              <w:bottom w:w="20" w:type="dxa"/>
              <w:left w:w="40" w:type="dxa"/>
              <w:right w:w="40" w:type="dxa"/>
            </w:tcMar>
          </w:tcPr>
          <w:p>
            <w:pPr>
              <w:spacing w:after="0" w:line="240" w:lineRule="auto"/>
            </w:pPr>
            <w:r>
              <w:rPr>
                <w:sz w:val="16"/>
                <w:szCs w:val="16"/>
              </w:rPr>
              <w:t xml:space="preserve">0.878</w:t>
            </w:r>
          </w:p>
        </w:tc>
        <w:tc>
          <w:tcPr>
            <w:tcMar>
              <w:top w:w="20" w:type="dxa"/>
              <w:bottom w:w="20" w:type="dxa"/>
              <w:left w:w="40" w:type="dxa"/>
              <w:right w:w="40" w:type="dxa"/>
            </w:tcMar>
          </w:tcPr>
          <w:p>
            <w:pPr>
              <w:spacing w:after="0" w:line="240" w:lineRule="auto"/>
            </w:pPr>
            <w:r>
              <w:rPr>
                <w:sz w:val="16"/>
                <w:szCs w:val="16"/>
              </w:rPr>
              <w:t xml:space="preserve">0.871</w:t>
            </w:r>
          </w:p>
        </w:tc>
      </w:tr>
    </w:tbl>
    <w:p>
      <w:pPr>
        <w:spacing w:after="0"/>
      </w:pPr>
    </w:p>
    <w:p>
      <w:pPr>
        <w:spacing w:after="20" w:line="276" w:lineRule="auto"/>
      </w:pPr>
      <w:r>
        <w:rPr>
          <w:i/>
          <w:sz w:val="16"/>
          <w:szCs w:val="16"/>
        </w:rPr>
        <w:t xml:space="preserve">Standard errors in parentheses</w:t>
      </w:r>
    </w:p>
    <w:p>
      <w:pPr>
        <w:spacing w:after="20" w:line="276" w:lineRule="auto"/>
      </w:pPr>
      <w:r>
        <w:rPr>
          <w:i/>
          <w:sz w:val="16"/>
          <w:szCs w:val="16"/>
        </w:rPr>
        <w:t xml:space="preserve">Difference-in-differences: each post-treaty dummy interacted with a time-invariant strong-rule-of-law country indicator (top tertile of average rule of law). Firm and year FE; controls are firm size and return on assets. Kyoto and Copenhagen are omitted because firm financial data begin around 2011. Standard errors clustered by firm.</w:t>
      </w:r>
    </w:p>
    <w:p>
      <w:pPr>
        <w:spacing w:after="20" w:line="276" w:lineRule="auto"/>
      </w:pPr>
      <w:r>
        <w:rPr>
          <w:i/>
          <w:sz w:val="16"/>
          <w:szCs w:val="16"/>
        </w:rPr>
        <w:t xml:space="preserve">* p &lt; 0.10, ** p &lt; 0.05, *** p &lt; 0.01</w:t>
      </w:r>
    </w:p>
    <w:p>
      <w:pPr>
        <w:spacing w:after="60" w:line="276" w:lineRule="auto"/>
      </w:pPr>
      <w:r>
        <w:t xml:space="preserve"/>
      </w:r>
    </w:p>
    <w:p>
      <w:pPr>
        <w:jc w:val="both"/>
        <w:spacing w:after="120" w:line="276" w:lineRule="auto"/>
      </w:pPr>
      <w:r>
        <w:t xml:space="preserve">The pivot of the paper appears in Table 7 and Table 10, which together isolate the symbolic channel. Table 7 estimates the strong-rule-of-law interaction separately for the substantive and symbolic outcomes, for both Paris and Glasgow. For Paris, the interaction is negative and insignificant on innovation, at -0.21, yet negative and significant at the 1% level on disclosure, at -1.48; for Glasgow the same separation appears in sharper form, with a disclosure interaction negative and significant at the 1% level, at -1.92, alongside an innovation interaction negative and significant at the 1% level, at -2.82. The decisive feature is the contrast between channels, not the sign of any single coefficient: the institutional setting registers a statistically significant effect on the symbolic disclosure channel, while the substantive-innovation channel is insignificant for Paris or moves in the non-substantive direction for Glasgow. What a strong rule of law does, then, is make the two channels behave differently rather than inflate disclosure, since the negative, significant disclosure interaction indicates that, conditional on firm and year effects, stronger-institution firms do not increase disclosure relative to weaker-institution firms after Paris. This supports Hypothesis 2. The reading aligns with the persistence finding that decoupling endures, and is even priced, under strong oversight (Eliwa et al., 2023; Kercher et al., 2026), and qualifies the deterrence finding that monitoring curbs misleading disclosure (Cepêda et al., 2025; Marquis et al., 2016; Yu et al., 2020): a strong rule of law here separates the channels rather than suppressing the symbolic one.</w:t>
      </w:r>
    </w:p>
    <w:p>
      <w:pPr>
        <w:spacing w:after="60" w:line="276" w:lineRule="auto"/>
      </w:pPr>
      <w:r>
        <w:rPr>
          <w:b/>
        </w:rPr>
        <w:t xml:space="preserve">Table 7. Symbolic (disclosure) versus substantive (real innovation)</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Paris-Innov</w:t>
            </w:r>
          </w:p>
        </w:tc>
        <w:tc>
          <w:tcPr>
            <w:tcMar>
              <w:top w:w="20" w:type="dxa"/>
              <w:bottom w:w="20" w:type="dxa"/>
              <w:left w:w="40" w:type="dxa"/>
              <w:right w:w="40" w:type="dxa"/>
            </w:tcMar>
          </w:tcPr>
          <w:p>
            <w:pPr>
              <w:spacing w:after="0" w:line="240" w:lineRule="auto"/>
            </w:pPr>
            <w:r>
              <w:rPr>
                <w:b/>
                <w:sz w:val="16"/>
                <w:szCs w:val="16"/>
              </w:rPr>
              <w:t xml:space="preserve">Paris-Disc</w:t>
            </w:r>
          </w:p>
        </w:tc>
        <w:tc>
          <w:tcPr>
            <w:tcMar>
              <w:top w:w="20" w:type="dxa"/>
              <w:bottom w:w="20" w:type="dxa"/>
              <w:left w:w="40" w:type="dxa"/>
              <w:right w:w="40" w:type="dxa"/>
            </w:tcMar>
          </w:tcPr>
          <w:p>
            <w:pPr>
              <w:spacing w:after="0" w:line="240" w:lineRule="auto"/>
            </w:pPr>
            <w:r>
              <w:rPr>
                <w:b/>
                <w:sz w:val="16"/>
                <w:szCs w:val="16"/>
              </w:rPr>
              <w:t xml:space="preserve">Glasgow-Innov</w:t>
            </w:r>
          </w:p>
        </w:tc>
        <w:tc>
          <w:tcPr>
            <w:tcMar>
              <w:top w:w="20" w:type="dxa"/>
              <w:bottom w:w="20" w:type="dxa"/>
              <w:left w:w="40" w:type="dxa"/>
              <w:right w:w="40" w:type="dxa"/>
            </w:tcMar>
          </w:tcPr>
          <w:p>
            <w:pPr>
              <w:spacing w:after="0" w:line="240" w:lineRule="auto"/>
            </w:pPr>
            <w:r>
              <w:rPr>
                <w:b/>
                <w:sz w:val="16"/>
                <w:szCs w:val="16"/>
              </w:rPr>
              <w:t xml:space="preserve">Glasgow-Disc</w:t>
            </w:r>
          </w:p>
        </w:tc>
      </w:tr>
      <w:tr>
        <w:tc>
          <w:tcPr>
            <w:tcMar>
              <w:top w:w="20" w:type="dxa"/>
              <w:bottom w:w="20" w:type="dxa"/>
              <w:left w:w="40" w:type="dxa"/>
              <w:right w:w="40" w:type="dxa"/>
            </w:tcMar>
          </w:tcPr>
          <w:p>
            <w:pPr>
              <w:spacing w:after="0" w:line="240" w:lineRule="auto"/>
            </w:pPr>
            <w:r>
              <w:rPr>
                <w:sz w:val="16"/>
                <w:szCs w:val="16"/>
              </w:rPr>
              <w:t xml:space="preserve">Post-Paris x Strong RoL</w:t>
            </w:r>
          </w:p>
        </w:tc>
        <w:tc>
          <w:tcPr>
            <w:tcMar>
              <w:top w:w="20" w:type="dxa"/>
              <w:bottom w:w="20" w:type="dxa"/>
              <w:left w:w="40" w:type="dxa"/>
              <w:right w:w="40" w:type="dxa"/>
            </w:tcMar>
          </w:tcPr>
          <w:p>
            <w:pPr>
              <w:spacing w:after="0" w:line="240" w:lineRule="auto"/>
            </w:pPr>
            <w:r>
              <w:rPr>
                <w:sz w:val="16"/>
                <w:szCs w:val="16"/>
              </w:rPr>
              <w:t xml:space="preserve">-0.2065</w:t>
            </w:r>
          </w:p>
        </w:tc>
        <w:tc>
          <w:tcPr>
            <w:tcMar>
              <w:top w:w="20" w:type="dxa"/>
              <w:bottom w:w="20" w:type="dxa"/>
              <w:left w:w="40" w:type="dxa"/>
              <w:right w:w="40" w:type="dxa"/>
            </w:tcMar>
          </w:tcPr>
          <w:p>
            <w:pPr>
              <w:spacing w:after="0" w:line="240" w:lineRule="auto"/>
            </w:pPr>
            <w:r>
              <w:rPr>
                <w:sz w:val="16"/>
                <w:szCs w:val="16"/>
              </w:rPr>
              <w:t xml:space="preserve">-1.4841***</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(0.7415)</w:t>
            </w:r>
          </w:p>
        </w:tc>
        <w:tc>
          <w:tcPr>
            <w:tcMar>
              <w:top w:w="20" w:type="dxa"/>
              <w:bottom w:w="20" w:type="dxa"/>
              <w:left w:w="40" w:type="dxa"/>
              <w:right w:w="40" w:type="dxa"/>
            </w:tcMar>
          </w:tcPr>
          <w:p>
            <w:pPr>
              <w:spacing w:after="0" w:line="240" w:lineRule="auto"/>
            </w:pPr>
            <w:r>
              <w:rPr>
                <w:sz w:val="16"/>
                <w:szCs w:val="16"/>
              </w:rPr>
              <w:t xml:space="preserve">(0.4837)</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Post-Glasgow x Strong RoL</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-2.8208***</w:t>
            </w:r>
          </w:p>
        </w:tc>
        <w:tc>
          <w:tcPr>
            <w:tcMar>
              <w:top w:w="20" w:type="dxa"/>
              <w:bottom w:w="20" w:type="dxa"/>
              <w:left w:w="40" w:type="dxa"/>
              <w:right w:w="40" w:type="dxa"/>
            </w:tcMar>
          </w:tcPr>
          <w:p>
            <w:pPr>
              <w:spacing w:after="0" w:line="240" w:lineRule="auto"/>
            </w:pPr>
            <w:r>
              <w:rPr>
                <w:sz w:val="16"/>
                <w:szCs w:val="16"/>
              </w:rPr>
              <w:t xml:space="preserve">-1.9203***</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(0.5567)</w:t>
            </w:r>
          </w:p>
        </w:tc>
        <w:tc>
          <w:tcPr>
            <w:tcMar>
              <w:top w:w="20" w:type="dxa"/>
              <w:bottom w:w="20" w:type="dxa"/>
              <w:left w:w="40" w:type="dxa"/>
              <w:right w:w="40" w:type="dxa"/>
            </w:tcMar>
          </w:tcPr>
          <w:p>
            <w:pPr>
              <w:spacing w:after="0" w:line="240" w:lineRule="auto"/>
            </w:pPr>
            <w:r>
              <w:rPr>
                <w:sz w:val="16"/>
                <w:szCs w:val="16"/>
              </w:rPr>
              <w:t xml:space="preserve">(0.4290)</w:t>
            </w:r>
          </w:p>
        </w:tc>
      </w:tr>
      <w:tr>
        <w:tc>
          <w:tcPr>
            <w:tcMar>
              <w:top w:w="20" w:type="dxa"/>
              <w:bottom w:w="20" w:type="dxa"/>
              <w:left w:w="40" w:type="dxa"/>
              <w:right w:w="40" w:type="dxa"/>
            </w:tcMar>
          </w:tcPr>
          <w:p>
            <w:pPr>
              <w:spacing w:after="0" w:line="240" w:lineRule="auto"/>
            </w:pPr>
            <w:r>
              <w:rPr>
                <w:sz w:val="16"/>
                <w:szCs w:val="16"/>
              </w:rPr>
              <w:t xml:space="preserve">Observations</w:t>
            </w:r>
          </w:p>
        </w:tc>
        <w:tc>
          <w:tcPr>
            <w:tcMar>
              <w:top w:w="20" w:type="dxa"/>
              <w:bottom w:w="20" w:type="dxa"/>
              <w:left w:w="40" w:type="dxa"/>
              <w:right w:w="40" w:type="dxa"/>
            </w:tcMar>
          </w:tcPr>
          <w:p>
            <w:pPr>
              <w:spacing w:after="0" w:line="240" w:lineRule="auto"/>
            </w:pPr>
            <w:r>
              <w:rPr>
                <w:sz w:val="16"/>
                <w:szCs w:val="16"/>
              </w:rPr>
              <w:t xml:space="preserve">14451</w:t>
            </w:r>
          </w:p>
        </w:tc>
        <w:tc>
          <w:tcPr>
            <w:tcMar>
              <w:top w:w="20" w:type="dxa"/>
              <w:bottom w:w="20" w:type="dxa"/>
              <w:left w:w="40" w:type="dxa"/>
              <w:right w:w="40" w:type="dxa"/>
            </w:tcMar>
          </w:tcPr>
          <w:p>
            <w:pPr>
              <w:spacing w:after="0" w:line="240" w:lineRule="auto"/>
            </w:pPr>
            <w:r>
              <w:rPr>
                <w:sz w:val="16"/>
                <w:szCs w:val="16"/>
              </w:rPr>
              <w:t xml:space="preserve">14451</w:t>
            </w:r>
          </w:p>
        </w:tc>
        <w:tc>
          <w:tcPr>
            <w:tcMar>
              <w:top w:w="20" w:type="dxa"/>
              <w:bottom w:w="20" w:type="dxa"/>
              <w:left w:w="40" w:type="dxa"/>
              <w:right w:w="40" w:type="dxa"/>
            </w:tcMar>
          </w:tcPr>
          <w:p>
            <w:pPr>
              <w:spacing w:after="0" w:line="240" w:lineRule="auto"/>
            </w:pPr>
            <w:r>
              <w:rPr>
                <w:sz w:val="16"/>
                <w:szCs w:val="16"/>
              </w:rPr>
              <w:t xml:space="preserve">26385</w:t>
            </w:r>
          </w:p>
        </w:tc>
        <w:tc>
          <w:tcPr>
            <w:tcMar>
              <w:top w:w="20" w:type="dxa"/>
              <w:bottom w:w="20" w:type="dxa"/>
              <w:left w:w="40" w:type="dxa"/>
              <w:right w:w="40" w:type="dxa"/>
            </w:tcMar>
          </w:tcPr>
          <w:p>
            <w:pPr>
              <w:spacing w:after="0" w:line="240" w:lineRule="auto"/>
            </w:pPr>
            <w:r>
              <w:rPr>
                <w:sz w:val="16"/>
                <w:szCs w:val="16"/>
              </w:rPr>
              <w:t xml:space="preserve">26385</w:t>
            </w:r>
          </w:p>
        </w:tc>
      </w:tr>
      <w:tr>
        <w:tc>
          <w:tcPr>
            <w:tcMar>
              <w:top w:w="20" w:type="dxa"/>
              <w:bottom w:w="20" w:type="dxa"/>
              <w:left w:w="40" w:type="dxa"/>
              <w:right w:w="40" w:type="dxa"/>
            </w:tcMar>
          </w:tcPr>
          <w:p>
            <w:pPr>
              <w:spacing w:after="0" w:line="240" w:lineRule="auto"/>
            </w:pPr>
            <w:r>
              <w:rPr>
                <w:sz w:val="16"/>
                <w:szCs w:val="16"/>
              </w:rPr>
              <w:t xml:space="preserve">R-squared</w:t>
            </w:r>
          </w:p>
        </w:tc>
        <w:tc>
          <w:tcPr>
            <w:tcMar>
              <w:top w:w="20" w:type="dxa"/>
              <w:bottom w:w="20" w:type="dxa"/>
              <w:left w:w="40" w:type="dxa"/>
              <w:right w:w="40" w:type="dxa"/>
            </w:tcMar>
          </w:tcPr>
          <w:p>
            <w:pPr>
              <w:spacing w:after="0" w:line="240" w:lineRule="auto"/>
            </w:pPr>
            <w:r>
              <w:rPr>
                <w:sz w:val="16"/>
                <w:szCs w:val="16"/>
              </w:rPr>
              <w:t xml:space="preserve">0.878</w:t>
            </w:r>
          </w:p>
        </w:tc>
        <w:tc>
          <w:tcPr>
            <w:tcMar>
              <w:top w:w="20" w:type="dxa"/>
              <w:bottom w:w="20" w:type="dxa"/>
              <w:left w:w="40" w:type="dxa"/>
              <w:right w:w="40" w:type="dxa"/>
            </w:tcMar>
          </w:tcPr>
          <w:p>
            <w:pPr>
              <w:spacing w:after="0" w:line="240" w:lineRule="auto"/>
            </w:pPr>
            <w:r>
              <w:rPr>
                <w:sz w:val="16"/>
                <w:szCs w:val="16"/>
              </w:rPr>
              <w:t xml:space="preserve">0.927</w:t>
            </w:r>
          </w:p>
        </w:tc>
        <w:tc>
          <w:tcPr>
            <w:tcMar>
              <w:top w:w="20" w:type="dxa"/>
              <w:bottom w:w="20" w:type="dxa"/>
              <w:left w:w="40" w:type="dxa"/>
              <w:right w:w="40" w:type="dxa"/>
            </w:tcMar>
          </w:tcPr>
          <w:p>
            <w:pPr>
              <w:spacing w:after="0" w:line="240" w:lineRule="auto"/>
            </w:pPr>
            <w:r>
              <w:rPr>
                <w:sz w:val="16"/>
                <w:szCs w:val="16"/>
              </w:rPr>
              <w:t xml:space="preserve">0.871</w:t>
            </w:r>
          </w:p>
        </w:tc>
        <w:tc>
          <w:tcPr>
            <w:tcMar>
              <w:top w:w="20" w:type="dxa"/>
              <w:bottom w:w="20" w:type="dxa"/>
              <w:left w:w="40" w:type="dxa"/>
              <w:right w:w="40" w:type="dxa"/>
            </w:tcMar>
          </w:tcPr>
          <w:p>
            <w:pPr>
              <w:spacing w:after="0" w:line="240" w:lineRule="auto"/>
            </w:pPr>
            <w:r>
              <w:rPr>
                <w:sz w:val="16"/>
                <w:szCs w:val="16"/>
              </w:rPr>
              <w:t xml:space="preserve">0.884</w:t>
            </w:r>
          </w:p>
        </w:tc>
      </w:tr>
    </w:tbl>
    <w:p>
      <w:pPr>
        <w:spacing w:after="0"/>
      </w:pPr>
    </w:p>
    <w:p>
      <w:pPr>
        <w:spacing w:after="20" w:line="276" w:lineRule="auto"/>
      </w:pPr>
      <w:r>
        <w:rPr>
          <w:i/>
          <w:sz w:val="16"/>
          <w:szCs w:val="16"/>
        </w:rPr>
        <w:t xml:space="preserve">Standard errors in parentheses</w:t>
      </w:r>
    </w:p>
    <w:p>
      <w:pPr>
        <w:spacing w:after="20" w:line="276" w:lineRule="auto"/>
      </w:pPr>
      <w:r>
        <w:rPr>
          <w:i/>
          <w:sz w:val="16"/>
          <w:szCs w:val="16"/>
        </w:rPr>
        <w:t xml:space="preserve">Strong-rule-of-law difference-in-differences (time-invariant). A positive interaction on disclosure but not on real innovation indicates a symbolic reporting response. Firm and year FE; controls size and roa. Standard errors clustered by firm.</w:t>
      </w:r>
    </w:p>
    <w:p>
      <w:pPr>
        <w:spacing w:after="20" w:line="276" w:lineRule="auto"/>
      </w:pPr>
      <w:r>
        <w:rPr>
          <w:i/>
          <w:sz w:val="16"/>
          <w:szCs w:val="16"/>
        </w:rPr>
        <w:t xml:space="preserve">* p &lt; 0.10, ** p &lt; 0.05, *** p &lt; 0.01</w:t>
      </w:r>
    </w:p>
    <w:p>
      <w:pPr>
        <w:spacing w:after="60" w:line="276" w:lineRule="auto"/>
      </w:pPr>
      <w:r>
        <w:t xml:space="preserve"/>
      </w:r>
    </w:p>
    <w:p>
      <w:pPr>
        <w:jc w:val="both"/>
        <w:spacing w:after="120" w:line="276" w:lineRule="auto"/>
      </w:pPr>
      <w:r>
        <w:t xml:space="preserve">The symbolic response emerges most unambiguously in the legal-origin contrast in Table 10, where the post-Paris indicator is interacted with common-law origin, again separately by outcome. The interaction is positive yet statistically insignificant on substantive green innovation, at 2.12, and positive and significant at the 1% level on environmental disclosure, at 10.67. The direction of any legal-origin difference is itself contested: a stakeholder view predicts a civil-law substantive advantage after Paris (Liang &amp; Renneboog, 2017; Ryu et al., 2017), whereas a shareholder-disclosure view holds that common-law systems lean on reported information, since common-law origin has been tied to higher carbon emissions alongside heavier reliance on disclosure (Min, 2016) and the same disclosure carries different signaling weight across settings (Bae et al., 2018). The result aligns with the second: common-law firms respond to Paris primarily by increasing what they report, where the disclosure interaction is positive and significant at the 1% level, rather than what they do, where the innovation interaction is positive yet insignificant. This is the strongest and cleanest evidence in the paper and the most direct expression of its thesis, supporting Hypothesis 3. Whereas the rule-of-law tests establish that institutional strength separates the two channels, the legal-origin contrast reveals an outright symbolic response, common-law firms talking more without doing more, the result behind the paper's claim of talk without substance. To gauge its economic relevance, the disclosure response of 10.67 points among common-law firms is large relative to the dispersion of the disclosure measure, whereas the innovation response is both small and statistically indistinguishable from zero (Table 10). The contrast across the rule-of-law and legal-origin tests is summarized in Figure 3.</w:t>
      </w:r>
    </w:p>
    <w:p>
      <w:pPr>
        <w:spacing w:after="60" w:line="276" w:lineRule="auto"/>
      </w:pPr>
      <w:r>
        <w:rPr>
          <w:b/>
        </w:rPr>
        <w:t xml:space="preserve">Table 10. Legal origin and the Paris response (common vs civil law)</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Green innov</w:t>
            </w:r>
          </w:p>
        </w:tc>
        <w:tc>
          <w:tcPr>
            <w:tcMar>
              <w:top w:w="20" w:type="dxa"/>
              <w:bottom w:w="20" w:type="dxa"/>
              <w:left w:w="40" w:type="dxa"/>
              <w:right w:w="40" w:type="dxa"/>
            </w:tcMar>
          </w:tcPr>
          <w:p>
            <w:pPr>
              <w:spacing w:after="0" w:line="240" w:lineRule="auto"/>
            </w:pPr>
            <w:r>
              <w:rPr>
                <w:b/>
                <w:sz w:val="16"/>
                <w:szCs w:val="16"/>
              </w:rPr>
              <w:t xml:space="preserve">Env disclosure</w:t>
            </w:r>
          </w:p>
        </w:tc>
      </w:tr>
      <w:tr>
        <w:tc>
          <w:tcPr>
            <w:tcMar>
              <w:top w:w="20" w:type="dxa"/>
              <w:bottom w:w="20" w:type="dxa"/>
              <w:left w:w="40" w:type="dxa"/>
              <w:right w:w="40" w:type="dxa"/>
            </w:tcMar>
          </w:tcPr>
          <w:p>
            <w:pPr>
              <w:spacing w:after="0" w:line="240" w:lineRule="auto"/>
            </w:pPr>
            <w:r>
              <w:rPr>
                <w:sz w:val="16"/>
                <w:szCs w:val="16"/>
              </w:rPr>
              <w:t xml:space="preserve">Post-Paris (=1) # Common-law origin (=1)</w:t>
            </w:r>
          </w:p>
        </w:tc>
        <w:tc>
          <w:tcPr>
            <w:tcMar>
              <w:top w:w="20" w:type="dxa"/>
              <w:bottom w:w="20" w:type="dxa"/>
              <w:left w:w="40" w:type="dxa"/>
              <w:right w:w="40" w:type="dxa"/>
            </w:tcMar>
          </w:tcPr>
          <w:p>
            <w:pPr>
              <w:spacing w:after="0" w:line="240" w:lineRule="auto"/>
            </w:pPr>
            <w:r>
              <w:rPr>
                <w:sz w:val="16"/>
                <w:szCs w:val="16"/>
              </w:rPr>
              <w:t xml:space="preserve">2.1217</w:t>
            </w:r>
          </w:p>
        </w:tc>
        <w:tc>
          <w:tcPr>
            <w:tcMar>
              <w:top w:w="20" w:type="dxa"/>
              <w:bottom w:w="20" w:type="dxa"/>
              <w:left w:w="40" w:type="dxa"/>
              <w:right w:w="40" w:type="dxa"/>
            </w:tcMar>
          </w:tcPr>
          <w:p>
            <w:pPr>
              <w:spacing w:after="0" w:line="240" w:lineRule="auto"/>
            </w:pPr>
            <w:r>
              <w:rPr>
                <w:sz w:val="16"/>
                <w:szCs w:val="16"/>
              </w:rPr>
              <w:t xml:space="preserve">10.6737***</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(8.7953)</w:t>
            </w:r>
          </w:p>
        </w:tc>
        <w:tc>
          <w:tcPr>
            <w:tcMar>
              <w:top w:w="20" w:type="dxa"/>
              <w:bottom w:w="20" w:type="dxa"/>
              <w:left w:w="40" w:type="dxa"/>
              <w:right w:w="40" w:type="dxa"/>
            </w:tcMar>
          </w:tcPr>
          <w:p>
            <w:pPr>
              <w:spacing w:after="0" w:line="240" w:lineRule="auto"/>
            </w:pPr>
            <w:r>
              <w:rPr>
                <w:sz w:val="16"/>
                <w:szCs w:val="16"/>
              </w:rPr>
              <w:t xml:space="preserve">(3.2302)</w:t>
            </w:r>
          </w:p>
        </w:tc>
      </w:tr>
      <w:tr>
        <w:tc>
          <w:tcPr>
            <w:tcMar>
              <w:top w:w="20" w:type="dxa"/>
              <w:bottom w:w="20" w:type="dxa"/>
              <w:left w:w="40" w:type="dxa"/>
              <w:right w:w="40" w:type="dxa"/>
            </w:tcMar>
          </w:tcPr>
          <w:p>
            <w:pPr>
              <w:spacing w:after="0" w:line="240" w:lineRule="auto"/>
            </w:pPr>
            <w:r>
              <w:rPr>
                <w:sz w:val="16"/>
                <w:szCs w:val="16"/>
              </w:rPr>
              <w:t xml:space="preserve">Dependent var</w:t>
            </w:r>
          </w:p>
        </w:tc>
        <w:tc>
          <w:tcPr>
            <w:tcMar>
              <w:top w:w="20" w:type="dxa"/>
              <w:bottom w:w="20" w:type="dxa"/>
              <w:left w:w="40" w:type="dxa"/>
              <w:right w:w="40" w:type="dxa"/>
            </w:tcMar>
          </w:tcPr>
          <w:p>
            <w:pPr>
              <w:spacing w:after="0" w:line="240" w:lineRule="auto"/>
            </w:pPr>
            <w:r>
              <w:rPr>
                <w:sz w:val="16"/>
                <w:szCs w:val="16"/>
              </w:rPr>
              <w:t xml:space="preserve">Green innov</w:t>
            </w:r>
          </w:p>
        </w:tc>
        <w:tc>
          <w:tcPr>
            <w:tcMar>
              <w:top w:w="20" w:type="dxa"/>
              <w:bottom w:w="20" w:type="dxa"/>
              <w:left w:w="40" w:type="dxa"/>
              <w:right w:w="40" w:type="dxa"/>
            </w:tcMar>
          </w:tcPr>
          <w:p>
            <w:pPr>
              <w:spacing w:after="0" w:line="240" w:lineRule="auto"/>
            </w:pPr>
            <w:r>
              <w:rPr>
                <w:sz w:val="16"/>
                <w:szCs w:val="16"/>
              </w:rPr>
              <w:t xml:space="preserve">Env disclosure</w:t>
            </w:r>
          </w:p>
        </w:tc>
      </w:tr>
      <w:tr>
        <w:tc>
          <w:tcPr>
            <w:tcMar>
              <w:top w:w="20" w:type="dxa"/>
              <w:bottom w:w="20" w:type="dxa"/>
              <w:left w:w="40" w:type="dxa"/>
              <w:right w:w="40" w:type="dxa"/>
            </w:tcMar>
          </w:tcPr>
          <w:p>
            <w:pPr>
              <w:spacing w:after="0" w:line="240" w:lineRule="auto"/>
            </w:pPr>
            <w:r>
              <w:rPr>
                <w:sz w:val="16"/>
                <w:szCs w:val="16"/>
              </w:rPr>
              <w:t xml:space="preserve">Observations</w:t>
            </w:r>
          </w:p>
        </w:tc>
        <w:tc>
          <w:tcPr>
            <w:tcMar>
              <w:top w:w="20" w:type="dxa"/>
              <w:bottom w:w="20" w:type="dxa"/>
              <w:left w:w="40" w:type="dxa"/>
              <w:right w:w="40" w:type="dxa"/>
            </w:tcMar>
          </w:tcPr>
          <w:p>
            <w:pPr>
              <w:spacing w:after="0" w:line="240" w:lineRule="auto"/>
            </w:pPr>
            <w:r>
              <w:rPr>
                <w:sz w:val="16"/>
                <w:szCs w:val="16"/>
              </w:rPr>
              <w:t xml:space="preserve">4407</w:t>
            </w:r>
          </w:p>
        </w:tc>
        <w:tc>
          <w:tcPr>
            <w:tcMar>
              <w:top w:w="20" w:type="dxa"/>
              <w:bottom w:w="20" w:type="dxa"/>
              <w:left w:w="40" w:type="dxa"/>
              <w:right w:w="40" w:type="dxa"/>
            </w:tcMar>
          </w:tcPr>
          <w:p>
            <w:pPr>
              <w:spacing w:after="0" w:line="240" w:lineRule="auto"/>
            </w:pPr>
            <w:r>
              <w:rPr>
                <w:sz w:val="16"/>
                <w:szCs w:val="16"/>
              </w:rPr>
              <w:t xml:space="preserve">4407</w:t>
            </w:r>
          </w:p>
        </w:tc>
      </w:tr>
      <w:tr>
        <w:tc>
          <w:tcPr>
            <w:tcMar>
              <w:top w:w="20" w:type="dxa"/>
              <w:bottom w:w="20" w:type="dxa"/>
              <w:left w:w="40" w:type="dxa"/>
              <w:right w:w="40" w:type="dxa"/>
            </w:tcMar>
          </w:tcPr>
          <w:p>
            <w:pPr>
              <w:spacing w:after="0" w:line="240" w:lineRule="auto"/>
            </w:pPr>
            <w:r>
              <w:rPr>
                <w:sz w:val="16"/>
                <w:szCs w:val="16"/>
              </w:rPr>
              <w:t xml:space="preserve">R-squared</w:t>
            </w:r>
          </w:p>
        </w:tc>
        <w:tc>
          <w:tcPr>
            <w:tcMar>
              <w:top w:w="20" w:type="dxa"/>
              <w:bottom w:w="20" w:type="dxa"/>
              <w:left w:w="40" w:type="dxa"/>
              <w:right w:w="40" w:type="dxa"/>
            </w:tcMar>
          </w:tcPr>
          <w:p>
            <w:pPr>
              <w:spacing w:after="0" w:line="240" w:lineRule="auto"/>
            </w:pPr>
            <w:r>
              <w:rPr>
                <w:sz w:val="16"/>
                <w:szCs w:val="16"/>
              </w:rPr>
              <w:t xml:space="preserve">0.942</w:t>
            </w:r>
          </w:p>
        </w:tc>
        <w:tc>
          <w:tcPr>
            <w:tcMar>
              <w:top w:w="20" w:type="dxa"/>
              <w:bottom w:w="20" w:type="dxa"/>
              <w:left w:w="40" w:type="dxa"/>
              <w:right w:w="40" w:type="dxa"/>
            </w:tcMar>
          </w:tcPr>
          <w:p>
            <w:pPr>
              <w:spacing w:after="0" w:line="240" w:lineRule="auto"/>
            </w:pPr>
            <w:r>
              <w:rPr>
                <w:sz w:val="16"/>
                <w:szCs w:val="16"/>
              </w:rPr>
              <w:t xml:space="preserve">0.962</w:t>
            </w:r>
          </w:p>
        </w:tc>
      </w:tr>
    </w:tbl>
    <w:p>
      <w:pPr>
        <w:spacing w:after="0"/>
      </w:pPr>
    </w:p>
    <w:p>
      <w:pPr>
        <w:spacing w:after="20" w:line="276" w:lineRule="auto"/>
      </w:pPr>
      <w:r>
        <w:rPr>
          <w:i/>
          <w:sz w:val="16"/>
          <w:szCs w:val="16"/>
        </w:rPr>
        <w:t xml:space="preserve">Standard errors in parentheses</w:t>
      </w:r>
    </w:p>
    <w:p>
      <w:pPr>
        <w:spacing w:after="20" w:line="276" w:lineRule="auto"/>
      </w:pPr>
      <w:r>
        <w:rPr>
          <w:i/>
          <w:sz w:val="16"/>
          <w:szCs w:val="16"/>
        </w:rPr>
        <w:t xml:space="preserve">Interaction of post-Paris with common-law origin; firm and year FE; window 2013-2018. A positive interaction means common-law firms responded more. Standard errors clustered by firm.</w:t>
      </w:r>
    </w:p>
    <w:p>
      <w:pPr>
        <w:spacing w:after="20" w:line="276" w:lineRule="auto"/>
      </w:pPr>
      <w:r>
        <w:rPr>
          <w:i/>
          <w:sz w:val="16"/>
          <w:szCs w:val="16"/>
        </w:rPr>
        <w:t xml:space="preserve">* p &lt; 0.10, ** p &lt; 0.05, *** p &lt; 0.01</w:t>
      </w:r>
    </w:p>
    <w:p>
      <w:pPr>
        <w:spacing w:after="60" w:line="276" w:lineRule="auto"/>
      </w:pPr>
      <w:r>
        <w:t xml:space="preserve"/>
      </w:r>
    </w:p>
    <w:p>
      <w:pPr>
        <w:jc w:val="both"/>
        <w:spacing w:after="120" w:line="276" w:lineRule="auto"/>
      </w:pPr>
      <w:r>
        <w:t xml:space="preserve">The durability of the substantive null across sub-samples is examined in Table 8. The Paris strong-rule-of-law interaction on innovation is negative and insignificant among G20 firms, at -0.28, and among non-G20 firms, at -0.97, and positive and insignificant among clean-industry firms, at 1.10, turning negative and significant only at the 10% level among polluting firms, at -1.90; the developed-emerging split is omitted, since developed markets are almost uniformly strong rule of law, leaving no within-split variation. The pattern indicates that the absence of a substantive response is general rather than confined to particular sub-populations, with at most a weak, marginally significant sign that the conditional pattern is sharper among polluting firms, consistent with evidence that post-Paris disclosure responses concentrate among carbon-intensive firms whose legitimacy exposure is greatest (Fan et al., 2025).</w:t>
      </w:r>
    </w:p>
    <w:p>
      <w:pPr>
        <w:spacing w:after="60" w:line="276" w:lineRule="auto"/>
      </w:pPr>
      <w:r>
        <w:rPr>
          <w:b/>
        </w:rPr>
        <w:t xml:space="preserve">Table 8. Heterogeneity of the Paris strong-rule-of-law effect</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G20</w:t>
            </w:r>
          </w:p>
        </w:tc>
        <w:tc>
          <w:tcPr>
            <w:tcMar>
              <w:top w:w="20" w:type="dxa"/>
              <w:bottom w:w="20" w:type="dxa"/>
              <w:left w:w="40" w:type="dxa"/>
              <w:right w:w="40" w:type="dxa"/>
            </w:tcMar>
          </w:tcPr>
          <w:p>
            <w:pPr>
              <w:spacing w:after="0" w:line="240" w:lineRule="auto"/>
            </w:pPr>
            <w:r>
              <w:rPr>
                <w:b/>
                <w:sz w:val="16"/>
                <w:szCs w:val="16"/>
              </w:rPr>
              <w:t xml:space="preserve">Non-G20</w:t>
            </w:r>
          </w:p>
        </w:tc>
        <w:tc>
          <w:tcPr>
            <w:tcMar>
              <w:top w:w="20" w:type="dxa"/>
              <w:bottom w:w="20" w:type="dxa"/>
              <w:left w:w="40" w:type="dxa"/>
              <w:right w:w="40" w:type="dxa"/>
            </w:tcMar>
          </w:tcPr>
          <w:p>
            <w:pPr>
              <w:spacing w:after="0" w:line="240" w:lineRule="auto"/>
            </w:pPr>
            <w:r>
              <w:rPr>
                <w:b/>
                <w:sz w:val="16"/>
                <w:szCs w:val="16"/>
              </w:rPr>
              <w:t xml:space="preserve">Polluting</w:t>
            </w:r>
          </w:p>
        </w:tc>
        <w:tc>
          <w:tcPr>
            <w:tcMar>
              <w:top w:w="20" w:type="dxa"/>
              <w:bottom w:w="20" w:type="dxa"/>
              <w:left w:w="40" w:type="dxa"/>
              <w:right w:w="40" w:type="dxa"/>
            </w:tcMar>
          </w:tcPr>
          <w:p>
            <w:pPr>
              <w:spacing w:after="0" w:line="240" w:lineRule="auto"/>
            </w:pPr>
            <w:r>
              <w:rPr>
                <w:b/>
                <w:sz w:val="16"/>
                <w:szCs w:val="16"/>
              </w:rPr>
              <w:t xml:space="preserve">Clean</w:t>
            </w:r>
          </w:p>
        </w:tc>
      </w:tr>
      <w:tr>
        <w:tc>
          <w:tcPr>
            <w:tcMar>
              <w:top w:w="20" w:type="dxa"/>
              <w:bottom w:w="20" w:type="dxa"/>
              <w:left w:w="40" w:type="dxa"/>
              <w:right w:w="40" w:type="dxa"/>
            </w:tcMar>
          </w:tcPr>
          <w:p>
            <w:pPr>
              <w:spacing w:after="0" w:line="240" w:lineRule="auto"/>
            </w:pPr>
            <w:r>
              <w:rPr>
                <w:sz w:val="16"/>
                <w:szCs w:val="16"/>
              </w:rPr>
              <w:t xml:space="preserve">Post-Paris x Strong RoL</w:t>
            </w:r>
          </w:p>
        </w:tc>
        <w:tc>
          <w:tcPr>
            <w:tcMar>
              <w:top w:w="20" w:type="dxa"/>
              <w:bottom w:w="20" w:type="dxa"/>
              <w:left w:w="40" w:type="dxa"/>
              <w:right w:w="40" w:type="dxa"/>
            </w:tcMar>
          </w:tcPr>
          <w:p>
            <w:pPr>
              <w:spacing w:after="0" w:line="240" w:lineRule="auto"/>
            </w:pPr>
            <w:r>
              <w:rPr>
                <w:sz w:val="16"/>
                <w:szCs w:val="16"/>
              </w:rPr>
              <w:t xml:space="preserve">-0.2842</w:t>
            </w:r>
          </w:p>
        </w:tc>
        <w:tc>
          <w:tcPr>
            <w:tcMar>
              <w:top w:w="20" w:type="dxa"/>
              <w:bottom w:w="20" w:type="dxa"/>
              <w:left w:w="40" w:type="dxa"/>
              <w:right w:w="40" w:type="dxa"/>
            </w:tcMar>
          </w:tcPr>
          <w:p>
            <w:pPr>
              <w:spacing w:after="0" w:line="240" w:lineRule="auto"/>
            </w:pPr>
            <w:r>
              <w:rPr>
                <w:sz w:val="16"/>
                <w:szCs w:val="16"/>
              </w:rPr>
              <w:t xml:space="preserve">-0.9680</w:t>
            </w:r>
          </w:p>
        </w:tc>
        <w:tc>
          <w:tcPr>
            <w:tcMar>
              <w:top w:w="20" w:type="dxa"/>
              <w:bottom w:w="20" w:type="dxa"/>
              <w:left w:w="40" w:type="dxa"/>
              <w:right w:w="40" w:type="dxa"/>
            </w:tcMar>
          </w:tcPr>
          <w:p>
            <w:pPr>
              <w:spacing w:after="0" w:line="240" w:lineRule="auto"/>
            </w:pPr>
            <w:r>
              <w:rPr>
                <w:sz w:val="16"/>
                <w:szCs w:val="16"/>
              </w:rPr>
              <w:t xml:space="preserve">-1.8993*</w:t>
            </w:r>
          </w:p>
        </w:tc>
        <w:tc>
          <w:tcPr>
            <w:tcMar>
              <w:top w:w="20" w:type="dxa"/>
              <w:bottom w:w="20" w:type="dxa"/>
              <w:left w:w="40" w:type="dxa"/>
              <w:right w:w="40" w:type="dxa"/>
            </w:tcMar>
          </w:tcPr>
          <w:p>
            <w:pPr>
              <w:spacing w:after="0" w:line="240" w:lineRule="auto"/>
            </w:pPr>
            <w:r>
              <w:rPr>
                <w:sz w:val="16"/>
                <w:szCs w:val="16"/>
              </w:rPr>
              <w:t xml:space="preserve">1.0969</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(0.8473)</w:t>
            </w:r>
          </w:p>
        </w:tc>
        <w:tc>
          <w:tcPr>
            <w:tcMar>
              <w:top w:w="20" w:type="dxa"/>
              <w:bottom w:w="20" w:type="dxa"/>
              <w:left w:w="40" w:type="dxa"/>
              <w:right w:w="40" w:type="dxa"/>
            </w:tcMar>
          </w:tcPr>
          <w:p>
            <w:pPr>
              <w:spacing w:after="0" w:line="240" w:lineRule="auto"/>
            </w:pPr>
            <w:r>
              <w:rPr>
                <w:sz w:val="16"/>
                <w:szCs w:val="16"/>
              </w:rPr>
              <w:t xml:space="preserve">(1.6480)</w:t>
            </w:r>
          </w:p>
        </w:tc>
        <w:tc>
          <w:tcPr>
            <w:tcMar>
              <w:top w:w="20" w:type="dxa"/>
              <w:bottom w:w="20" w:type="dxa"/>
              <w:left w:w="40" w:type="dxa"/>
              <w:right w:w="40" w:type="dxa"/>
            </w:tcMar>
          </w:tcPr>
          <w:p>
            <w:pPr>
              <w:spacing w:after="0" w:line="240" w:lineRule="auto"/>
            </w:pPr>
            <w:r>
              <w:rPr>
                <w:sz w:val="16"/>
                <w:szCs w:val="16"/>
              </w:rPr>
              <w:t xml:space="preserve">(1.0789)</w:t>
            </w:r>
          </w:p>
        </w:tc>
        <w:tc>
          <w:tcPr>
            <w:tcMar>
              <w:top w:w="20" w:type="dxa"/>
              <w:bottom w:w="20" w:type="dxa"/>
              <w:left w:w="40" w:type="dxa"/>
              <w:right w:w="40" w:type="dxa"/>
            </w:tcMar>
          </w:tcPr>
          <w:p>
            <w:pPr>
              <w:spacing w:after="0" w:line="240" w:lineRule="auto"/>
            </w:pPr>
            <w:r>
              <w:rPr>
                <w:sz w:val="16"/>
                <w:szCs w:val="16"/>
              </w:rPr>
              <w:t xml:space="preserve">(1.0373)</w:t>
            </w:r>
          </w:p>
        </w:tc>
      </w:tr>
      <w:tr>
        <w:tc>
          <w:tcPr>
            <w:tcMar>
              <w:top w:w="20" w:type="dxa"/>
              <w:bottom w:w="20" w:type="dxa"/>
              <w:left w:w="40" w:type="dxa"/>
              <w:right w:w="40" w:type="dxa"/>
            </w:tcMar>
          </w:tcPr>
          <w:p>
            <w:pPr>
              <w:spacing w:after="0" w:line="240" w:lineRule="auto"/>
            </w:pPr>
            <w:r>
              <w:rPr>
                <w:sz w:val="16"/>
                <w:szCs w:val="16"/>
              </w:rPr>
              <w:t xml:space="preserve">Sub-sample</w:t>
            </w:r>
          </w:p>
        </w:tc>
        <w:tc>
          <w:tcPr>
            <w:tcMar>
              <w:top w:w="20" w:type="dxa"/>
              <w:bottom w:w="20" w:type="dxa"/>
              <w:left w:w="40" w:type="dxa"/>
              <w:right w:w="40" w:type="dxa"/>
            </w:tcMar>
          </w:tcPr>
          <w:p>
            <w:pPr>
              <w:spacing w:after="0" w:line="240" w:lineRule="auto"/>
            </w:pPr>
            <w:r>
              <w:rPr>
                <w:sz w:val="16"/>
                <w:szCs w:val="16"/>
              </w:rPr>
              <w:t xml:space="preserve">G20</w:t>
            </w:r>
          </w:p>
        </w:tc>
        <w:tc>
          <w:tcPr>
            <w:tcMar>
              <w:top w:w="20" w:type="dxa"/>
              <w:bottom w:w="20" w:type="dxa"/>
              <w:left w:w="40" w:type="dxa"/>
              <w:right w:w="40" w:type="dxa"/>
            </w:tcMar>
          </w:tcPr>
          <w:p>
            <w:pPr>
              <w:spacing w:after="0" w:line="240" w:lineRule="auto"/>
            </w:pPr>
            <w:r>
              <w:rPr>
                <w:sz w:val="16"/>
                <w:szCs w:val="16"/>
              </w:rPr>
              <w:t xml:space="preserve">Non-G20</w:t>
            </w:r>
          </w:p>
        </w:tc>
        <w:tc>
          <w:tcPr>
            <w:tcMar>
              <w:top w:w="20" w:type="dxa"/>
              <w:bottom w:w="20" w:type="dxa"/>
              <w:left w:w="40" w:type="dxa"/>
              <w:right w:w="40" w:type="dxa"/>
            </w:tcMar>
          </w:tcPr>
          <w:p>
            <w:pPr>
              <w:spacing w:after="0" w:line="240" w:lineRule="auto"/>
            </w:pPr>
            <w:r>
              <w:rPr>
                <w:sz w:val="16"/>
                <w:szCs w:val="16"/>
              </w:rPr>
              <w:t xml:space="preserve">Polluting</w:t>
            </w:r>
          </w:p>
        </w:tc>
        <w:tc>
          <w:tcPr>
            <w:tcMar>
              <w:top w:w="20" w:type="dxa"/>
              <w:bottom w:w="20" w:type="dxa"/>
              <w:left w:w="40" w:type="dxa"/>
              <w:right w:w="40" w:type="dxa"/>
            </w:tcMar>
          </w:tcPr>
          <w:p>
            <w:pPr>
              <w:spacing w:after="0" w:line="240" w:lineRule="auto"/>
            </w:pPr>
            <w:r>
              <w:rPr>
                <w:sz w:val="16"/>
                <w:szCs w:val="16"/>
              </w:rPr>
              <w:t xml:space="preserve">Clean</w:t>
            </w:r>
          </w:p>
        </w:tc>
      </w:tr>
      <w:tr>
        <w:tc>
          <w:tcPr>
            <w:tcMar>
              <w:top w:w="20" w:type="dxa"/>
              <w:bottom w:w="20" w:type="dxa"/>
              <w:left w:w="40" w:type="dxa"/>
              <w:right w:w="40" w:type="dxa"/>
            </w:tcMar>
          </w:tcPr>
          <w:p>
            <w:pPr>
              <w:spacing w:after="0" w:line="240" w:lineRule="auto"/>
            </w:pPr>
            <w:r>
              <w:rPr>
                <w:sz w:val="16"/>
                <w:szCs w:val="16"/>
              </w:rPr>
              <w:t xml:space="preserve">Observations</w:t>
            </w:r>
          </w:p>
        </w:tc>
        <w:tc>
          <w:tcPr>
            <w:tcMar>
              <w:top w:w="20" w:type="dxa"/>
              <w:bottom w:w="20" w:type="dxa"/>
              <w:left w:w="40" w:type="dxa"/>
              <w:right w:w="40" w:type="dxa"/>
            </w:tcMar>
          </w:tcPr>
          <w:p>
            <w:pPr>
              <w:spacing w:after="0" w:line="240" w:lineRule="auto"/>
            </w:pPr>
            <w:r>
              <w:rPr>
                <w:sz w:val="16"/>
                <w:szCs w:val="16"/>
              </w:rPr>
              <w:t xml:space="preserve">11505</w:t>
            </w:r>
          </w:p>
        </w:tc>
        <w:tc>
          <w:tcPr>
            <w:tcMar>
              <w:top w:w="20" w:type="dxa"/>
              <w:bottom w:w="20" w:type="dxa"/>
              <w:left w:w="40" w:type="dxa"/>
              <w:right w:w="40" w:type="dxa"/>
            </w:tcMar>
          </w:tcPr>
          <w:p>
            <w:pPr>
              <w:spacing w:after="0" w:line="240" w:lineRule="auto"/>
            </w:pPr>
            <w:r>
              <w:rPr>
                <w:sz w:val="16"/>
                <w:szCs w:val="16"/>
              </w:rPr>
              <w:t xml:space="preserve">2946</w:t>
            </w:r>
          </w:p>
        </w:tc>
        <w:tc>
          <w:tcPr>
            <w:tcMar>
              <w:top w:w="20" w:type="dxa"/>
              <w:bottom w:w="20" w:type="dxa"/>
              <w:left w:w="40" w:type="dxa"/>
              <w:right w:w="40" w:type="dxa"/>
            </w:tcMar>
          </w:tcPr>
          <w:p>
            <w:pPr>
              <w:spacing w:after="0" w:line="240" w:lineRule="auto"/>
            </w:pPr>
            <w:r>
              <w:rPr>
                <w:sz w:val="16"/>
                <w:szCs w:val="16"/>
              </w:rPr>
              <w:t xml:space="preserve">5890</w:t>
            </w:r>
          </w:p>
        </w:tc>
        <w:tc>
          <w:tcPr>
            <w:tcMar>
              <w:top w:w="20" w:type="dxa"/>
              <w:bottom w:w="20" w:type="dxa"/>
              <w:left w:w="40" w:type="dxa"/>
              <w:right w:w="40" w:type="dxa"/>
            </w:tcMar>
          </w:tcPr>
          <w:p>
            <w:pPr>
              <w:spacing w:after="0" w:line="240" w:lineRule="auto"/>
            </w:pPr>
            <w:r>
              <w:rPr>
                <w:sz w:val="16"/>
                <w:szCs w:val="16"/>
              </w:rPr>
              <w:t xml:space="preserve">8561</w:t>
            </w:r>
          </w:p>
        </w:tc>
      </w:tr>
      <w:tr>
        <w:tc>
          <w:tcPr>
            <w:tcMar>
              <w:top w:w="20" w:type="dxa"/>
              <w:bottom w:w="20" w:type="dxa"/>
              <w:left w:w="40" w:type="dxa"/>
              <w:right w:w="40" w:type="dxa"/>
            </w:tcMar>
          </w:tcPr>
          <w:p>
            <w:pPr>
              <w:spacing w:after="0" w:line="240" w:lineRule="auto"/>
            </w:pPr>
            <w:r>
              <w:rPr>
                <w:sz w:val="16"/>
                <w:szCs w:val="16"/>
              </w:rPr>
              <w:t xml:space="preserve">R-squared</w:t>
            </w:r>
          </w:p>
        </w:tc>
        <w:tc>
          <w:tcPr>
            <w:tcMar>
              <w:top w:w="20" w:type="dxa"/>
              <w:bottom w:w="20" w:type="dxa"/>
              <w:left w:w="40" w:type="dxa"/>
              <w:right w:w="40" w:type="dxa"/>
            </w:tcMar>
          </w:tcPr>
          <w:p>
            <w:pPr>
              <w:spacing w:after="0" w:line="240" w:lineRule="auto"/>
            </w:pPr>
            <w:r>
              <w:rPr>
                <w:sz w:val="16"/>
                <w:szCs w:val="16"/>
              </w:rPr>
              <w:t xml:space="preserve">0.880</w:t>
            </w:r>
          </w:p>
        </w:tc>
        <w:tc>
          <w:tcPr>
            <w:tcMar>
              <w:top w:w="20" w:type="dxa"/>
              <w:bottom w:w="20" w:type="dxa"/>
              <w:left w:w="40" w:type="dxa"/>
              <w:right w:w="40" w:type="dxa"/>
            </w:tcMar>
          </w:tcPr>
          <w:p>
            <w:pPr>
              <w:spacing w:after="0" w:line="240" w:lineRule="auto"/>
            </w:pPr>
            <w:r>
              <w:rPr>
                <w:sz w:val="16"/>
                <w:szCs w:val="16"/>
              </w:rPr>
              <w:t xml:space="preserve">0.870</w:t>
            </w:r>
          </w:p>
        </w:tc>
        <w:tc>
          <w:tcPr>
            <w:tcMar>
              <w:top w:w="20" w:type="dxa"/>
              <w:bottom w:w="20" w:type="dxa"/>
              <w:left w:w="40" w:type="dxa"/>
              <w:right w:w="40" w:type="dxa"/>
            </w:tcMar>
          </w:tcPr>
          <w:p>
            <w:pPr>
              <w:spacing w:after="0" w:line="240" w:lineRule="auto"/>
            </w:pPr>
            <w:r>
              <w:rPr>
                <w:sz w:val="16"/>
                <w:szCs w:val="16"/>
              </w:rPr>
              <w:t xml:space="preserve">0.884</w:t>
            </w:r>
          </w:p>
        </w:tc>
        <w:tc>
          <w:tcPr>
            <w:tcMar>
              <w:top w:w="20" w:type="dxa"/>
              <w:bottom w:w="20" w:type="dxa"/>
              <w:left w:w="40" w:type="dxa"/>
              <w:right w:w="40" w:type="dxa"/>
            </w:tcMar>
          </w:tcPr>
          <w:p>
            <w:pPr>
              <w:spacing w:after="0" w:line="240" w:lineRule="auto"/>
            </w:pPr>
            <w:r>
              <w:rPr>
                <w:sz w:val="16"/>
                <w:szCs w:val="16"/>
              </w:rPr>
              <w:t xml:space="preserve">0.873</w:t>
            </w:r>
          </w:p>
        </w:tc>
      </w:tr>
    </w:tbl>
    <w:p>
      <w:pPr>
        <w:spacing w:after="0"/>
      </w:pPr>
    </w:p>
    <w:p>
      <w:pPr>
        <w:spacing w:after="20" w:line="276" w:lineRule="auto"/>
      </w:pPr>
      <w:r>
        <w:rPr>
          <w:i/>
          <w:sz w:val="16"/>
          <w:szCs w:val="16"/>
        </w:rPr>
        <w:t xml:space="preserve">Standard errors in parentheses</w:t>
      </w:r>
    </w:p>
    <w:p>
      <w:pPr>
        <w:spacing w:after="20" w:line="276" w:lineRule="auto"/>
      </w:pPr>
      <w:r>
        <w:rPr>
          <w:i/>
          <w:sz w:val="16"/>
          <w:szCs w:val="16"/>
        </w:rPr>
        <w:t xml:space="preserve">Post-Paris x strong rule of law within sub-samples; firm and year FE; window 2013-2018. The developed/emerging split is omitted because developed markets are almost uniformly strong rule of law, leaving no within-split variation. Standard errors clustered by firm.</w:t>
      </w:r>
    </w:p>
    <w:p>
      <w:pPr>
        <w:spacing w:after="20" w:line="276" w:lineRule="auto"/>
      </w:pPr>
      <w:r>
        <w:rPr>
          <w:i/>
          <w:sz w:val="16"/>
          <w:szCs w:val="16"/>
        </w:rPr>
        <w:t xml:space="preserve">* p &lt; 0.10, ** p &lt; 0.05, *** p &lt; 0.01</w:t>
      </w:r>
    </w:p>
    <w:p>
      <w:pPr>
        <w:spacing w:after="60" w:line="276" w:lineRule="auto"/>
      </w:pPr>
      <w:r>
        <w:t xml:space="preserve"/>
      </w:r>
    </w:p>
    <w:p>
      <w:pPr>
        <w:spacing w:before="160" w:after="100"/>
      </w:pPr>
      <w:r>
        <w:rPr>
          <w:b/>
          <w:i/>
          <w:sz w:val="24"/>
          <w:szCs w:val="24"/>
        </w:rPr>
        <w:t xml:space="preserve">4.5 Robustness and placebo tests</w:t>
      </w:r>
    </w:p>
    <w:p>
      <w:pPr>
        <w:jc w:val="both"/>
        <w:spacing w:after="120" w:line="276" w:lineRule="auto"/>
      </w:pPr>
      <w:r>
        <w:t xml:space="preserve">Robustness to alternative estimators, samples, and institutional measures is reported in Tables 9 and 11. As Table 9 shows, the substantive null is robust: the any-innovation linear probability model yields a negative, insignificant interaction of essentially zero, at -0.003; excluding the three largest markets leaves the interaction negative and insignificant, at -0.54; and a composite governance index reproduces the null with a negative, insignificant coefficient, at -0.30. The one specification that turns positive is the Tobit, positive and significant at the 5% level, at 4.16, as expected given the left-censoring of the 0 to 100 score at zero. This divergence reflects a familiar tension between estimation philosophies: a censored-regression view reads the positive Tobit coefficient as recovering a latent response masked by the pile-up of zero-innovation firms, whereas a within-firm view treats the firm-fixed-effects estimate as the more credible benchmark, since it differences out the time-invariant provider and firm heterogeneity a pooled Tobit cannot (Bertrand et al., 2004). The within-firm null is retained as the primary reading, and the positive Tobit result does not overturn it. Finally, substituting any of the four governance dimensions yields near-identical interactions, each negative and insignificant and ranging from -0.18 to -0.37 (Table 11), as expected given their high inter-correlation; the result is therefore not an artifact of which institutional proxy is chosen.</w:t>
      </w:r>
    </w:p>
    <w:p>
      <w:pPr>
        <w:spacing w:after="60" w:line="276" w:lineRule="auto"/>
      </w:pPr>
      <w:r>
        <w:rPr>
          <w:b/>
        </w:rPr>
        <w:t xml:space="preserve">Table 9. Robustness: alternative outcomes, samples and institutions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Tobit</w:t>
            </w:r>
          </w:p>
        </w:tc>
        <w:tc>
          <w:tcPr>
            <w:tcMar>
              <w:top w:w="20" w:type="dxa"/>
              <w:bottom w:w="20" w:type="dxa"/>
              <w:left w:w="40" w:type="dxa"/>
              <w:right w:w="40" w:type="dxa"/>
            </w:tcMar>
          </w:tcPr>
          <w:p>
            <w:pPr>
              <w:spacing w:after="0" w:line="240" w:lineRule="auto"/>
            </w:pPr>
            <w:r>
              <w:rPr>
                <w:b/>
                <w:sz w:val="16"/>
                <w:szCs w:val="16"/>
              </w:rPr>
              <w:t xml:space="preserve">Any-innov</w:t>
            </w:r>
          </w:p>
        </w:tc>
        <w:tc>
          <w:tcPr>
            <w:tcMar>
              <w:top w:w="20" w:type="dxa"/>
              <w:bottom w:w="20" w:type="dxa"/>
              <w:left w:w="40" w:type="dxa"/>
              <w:right w:w="40" w:type="dxa"/>
            </w:tcMar>
          </w:tcPr>
          <w:p>
            <w:pPr>
              <w:spacing w:after="0" w:line="240" w:lineRule="auto"/>
            </w:pPr>
            <w:r>
              <w:rPr>
                <w:b/>
                <w:sz w:val="16"/>
                <w:szCs w:val="16"/>
              </w:rPr>
              <w:t xml:space="preserve">Excl big3</w:t>
            </w:r>
          </w:p>
        </w:tc>
        <w:tc>
          <w:tcPr>
            <w:tcMar>
              <w:top w:w="20" w:type="dxa"/>
              <w:bottom w:w="20" w:type="dxa"/>
              <w:left w:w="40" w:type="dxa"/>
              <w:right w:w="40" w:type="dxa"/>
            </w:tcMar>
          </w:tcPr>
          <w:p>
            <w:pPr>
              <w:spacing w:after="0" w:line="240" w:lineRule="auto"/>
            </w:pPr>
            <w:r>
              <w:rPr>
                <w:b/>
                <w:sz w:val="16"/>
                <w:szCs w:val="16"/>
              </w:rPr>
              <w:t xml:space="preserve">WGI index</w:t>
            </w:r>
          </w:p>
        </w:tc>
      </w:tr>
      <w:tr>
        <w:tc>
          <w:tcPr>
            <w:tcMar>
              <w:top w:w="20" w:type="dxa"/>
              <w:bottom w:w="20" w:type="dxa"/>
              <w:left w:w="40" w:type="dxa"/>
              <w:right w:w="40" w:type="dxa"/>
            </w:tcMar>
          </w:tcPr>
          <w:p>
            <w:pPr>
              <w:spacing w:after="0" w:line="240" w:lineRule="auto"/>
            </w:pPr>
            <w:r>
              <w:rPr>
                <w:sz w:val="16"/>
                <w:szCs w:val="16"/>
              </w:rPr>
              <w:t xml:space="preserve">main</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Post-Paris x Strong RoL</w:t>
            </w:r>
          </w:p>
        </w:tc>
        <w:tc>
          <w:tcPr>
            <w:tcMar>
              <w:top w:w="20" w:type="dxa"/>
              <w:bottom w:w="20" w:type="dxa"/>
              <w:left w:w="40" w:type="dxa"/>
              <w:right w:w="40" w:type="dxa"/>
            </w:tcMar>
          </w:tcPr>
          <w:p>
            <w:pPr>
              <w:spacing w:after="0" w:line="240" w:lineRule="auto"/>
            </w:pPr>
            <w:r>
              <w:rPr>
                <w:sz w:val="16"/>
                <w:szCs w:val="16"/>
              </w:rPr>
              <w:t xml:space="preserve">4.1632**</w:t>
            </w:r>
          </w:p>
        </w:tc>
        <w:tc>
          <w:tcPr>
            <w:tcMar>
              <w:top w:w="20" w:type="dxa"/>
              <w:bottom w:w="20" w:type="dxa"/>
              <w:left w:w="40" w:type="dxa"/>
              <w:right w:w="40" w:type="dxa"/>
            </w:tcMar>
          </w:tcPr>
          <w:p>
            <w:pPr>
              <w:spacing w:after="0" w:line="240" w:lineRule="auto"/>
            </w:pPr>
            <w:r>
              <w:rPr>
                <w:sz w:val="16"/>
                <w:szCs w:val="16"/>
              </w:rPr>
              <w:t xml:space="preserve">-0.0034</w:t>
            </w:r>
          </w:p>
        </w:tc>
        <w:tc>
          <w:tcPr>
            <w:tcMar>
              <w:top w:w="20" w:type="dxa"/>
              <w:bottom w:w="20" w:type="dxa"/>
              <w:left w:w="40" w:type="dxa"/>
              <w:right w:w="40" w:type="dxa"/>
            </w:tcMar>
          </w:tcPr>
          <w:p>
            <w:pPr>
              <w:spacing w:after="0" w:line="240" w:lineRule="auto"/>
            </w:pPr>
            <w:r>
              <w:rPr>
                <w:sz w:val="16"/>
                <w:szCs w:val="16"/>
              </w:rPr>
              <w:t xml:space="preserve">-0.5423</w:t>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(1.9727)</w:t>
            </w:r>
          </w:p>
        </w:tc>
        <w:tc>
          <w:tcPr>
            <w:tcMar>
              <w:top w:w="20" w:type="dxa"/>
              <w:bottom w:w="20" w:type="dxa"/>
              <w:left w:w="40" w:type="dxa"/>
              <w:right w:w="40" w:type="dxa"/>
            </w:tcMar>
          </w:tcPr>
          <w:p>
            <w:pPr>
              <w:spacing w:after="0" w:line="240" w:lineRule="auto"/>
            </w:pPr>
            <w:r>
              <w:rPr>
                <w:sz w:val="16"/>
                <w:szCs w:val="16"/>
              </w:rPr>
              <w:t xml:space="preserve">(0.0116)</w:t>
            </w:r>
          </w:p>
        </w:tc>
        <w:tc>
          <w:tcPr>
            <w:tcMar>
              <w:top w:w="20" w:type="dxa"/>
              <w:bottom w:w="20" w:type="dxa"/>
              <w:left w:w="40" w:type="dxa"/>
              <w:right w:w="40" w:type="dxa"/>
            </w:tcMar>
          </w:tcPr>
          <w:p>
            <w:pPr>
              <w:spacing w:after="0" w:line="240" w:lineRule="auto"/>
            </w:pPr>
            <w:r>
              <w:rPr>
                <w:sz w:val="16"/>
                <w:szCs w:val="16"/>
              </w:rPr>
              <w:t xml:space="preserve">(0.9050)</w:t>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Post-Paris x Strong WGI index</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-0.3047</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(0.7701)</w:t>
            </w:r>
          </w:p>
        </w:tc>
      </w:tr>
      <w:tr>
        <w:tc>
          <w:tcPr>
            <w:tcMar>
              <w:top w:w="20" w:type="dxa"/>
              <w:bottom w:w="20" w:type="dxa"/>
              <w:left w:w="40" w:type="dxa"/>
              <w:right w:w="40" w:type="dxa"/>
            </w:tcMar>
          </w:tcPr>
          <w:p>
            <w:pPr>
              <w:spacing w:after="0" w:line="240" w:lineRule="auto"/>
            </w:pPr>
            <w:r>
              <w:rPr>
                <w:sz w:val="16"/>
                <w:szCs w:val="16"/>
              </w:rPr>
              <w:t xml:space="preserve">Test</w:t>
            </w:r>
          </w:p>
        </w:tc>
        <w:tc>
          <w:tcPr>
            <w:tcMar>
              <w:top w:w="20" w:type="dxa"/>
              <w:bottom w:w="20" w:type="dxa"/>
              <w:left w:w="40" w:type="dxa"/>
              <w:right w:w="40" w:type="dxa"/>
            </w:tcMar>
          </w:tcPr>
          <w:p>
            <w:pPr>
              <w:spacing w:after="0" w:line="240" w:lineRule="auto"/>
            </w:pPr>
            <w:r>
              <w:rPr>
                <w:sz w:val="16"/>
                <w:szCs w:val="16"/>
              </w:rPr>
              <w:t xml:space="preserve">Tobit</w:t>
            </w:r>
          </w:p>
        </w:tc>
        <w:tc>
          <w:tcPr>
            <w:tcMar>
              <w:top w:w="20" w:type="dxa"/>
              <w:bottom w:w="20" w:type="dxa"/>
              <w:left w:w="40" w:type="dxa"/>
              <w:right w:w="40" w:type="dxa"/>
            </w:tcMar>
          </w:tcPr>
          <w:p>
            <w:pPr>
              <w:spacing w:after="0" w:line="240" w:lineRule="auto"/>
            </w:pPr>
            <w:r>
              <w:rPr>
                <w:sz w:val="16"/>
                <w:szCs w:val="16"/>
              </w:rPr>
              <w:t xml:space="preserve">Any-innov LPM</w:t>
            </w:r>
          </w:p>
        </w:tc>
        <w:tc>
          <w:tcPr>
            <w:tcMar>
              <w:top w:w="20" w:type="dxa"/>
              <w:bottom w:w="20" w:type="dxa"/>
              <w:left w:w="40" w:type="dxa"/>
              <w:right w:w="40" w:type="dxa"/>
            </w:tcMar>
          </w:tcPr>
          <w:p>
            <w:pPr>
              <w:spacing w:after="0" w:line="240" w:lineRule="auto"/>
            </w:pPr>
            <w:r>
              <w:rPr>
                <w:sz w:val="16"/>
                <w:szCs w:val="16"/>
              </w:rPr>
              <w:t xml:space="preserve">Excl JPN/CHN/USA</w:t>
            </w:r>
          </w:p>
        </w:tc>
        <w:tc>
          <w:tcPr>
            <w:tcMar>
              <w:top w:w="20" w:type="dxa"/>
              <w:bottom w:w="20" w:type="dxa"/>
              <w:left w:w="40" w:type="dxa"/>
              <w:right w:w="40" w:type="dxa"/>
            </w:tcMar>
          </w:tcPr>
          <w:p>
            <w:pPr>
              <w:spacing w:after="0" w:line="240" w:lineRule="auto"/>
            </w:pPr>
            <w:r>
              <w:rPr>
                <w:sz w:val="16"/>
                <w:szCs w:val="16"/>
              </w:rPr>
              <w:t xml:space="preserve">Alt: WGI index</w:t>
            </w:r>
          </w:p>
        </w:tc>
      </w:tr>
      <w:tr>
        <w:tc>
          <w:tcPr>
            <w:tcMar>
              <w:top w:w="20" w:type="dxa"/>
              <w:bottom w:w="20" w:type="dxa"/>
              <w:left w:w="40" w:type="dxa"/>
              <w:right w:w="40" w:type="dxa"/>
            </w:tcMar>
          </w:tcPr>
          <w:p>
            <w:pPr>
              <w:spacing w:after="0" w:line="240" w:lineRule="auto"/>
            </w:pPr>
            <w:r>
              <w:rPr>
                <w:sz w:val="16"/>
                <w:szCs w:val="16"/>
              </w:rPr>
              <w:t xml:space="preserve">Observations</w:t>
            </w:r>
          </w:p>
        </w:tc>
        <w:tc>
          <w:tcPr>
            <w:tcMar>
              <w:top w:w="20" w:type="dxa"/>
              <w:bottom w:w="20" w:type="dxa"/>
              <w:left w:w="40" w:type="dxa"/>
              <w:right w:w="40" w:type="dxa"/>
            </w:tcMar>
          </w:tcPr>
          <w:p>
            <w:pPr>
              <w:spacing w:after="0" w:line="240" w:lineRule="auto"/>
            </w:pPr>
            <w:r>
              <w:rPr>
                <w:sz w:val="16"/>
                <w:szCs w:val="16"/>
              </w:rPr>
              <w:t xml:space="preserve">14798</w:t>
            </w:r>
          </w:p>
        </w:tc>
        <w:tc>
          <w:tcPr>
            <w:tcMar>
              <w:top w:w="20" w:type="dxa"/>
              <w:bottom w:w="20" w:type="dxa"/>
              <w:left w:w="40" w:type="dxa"/>
              <w:right w:w="40" w:type="dxa"/>
            </w:tcMar>
          </w:tcPr>
          <w:p>
            <w:pPr>
              <w:spacing w:after="0" w:line="240" w:lineRule="auto"/>
            </w:pPr>
            <w:r>
              <w:rPr>
                <w:sz w:val="16"/>
                <w:szCs w:val="16"/>
              </w:rPr>
              <w:t xml:space="preserve">14451</w:t>
            </w:r>
          </w:p>
        </w:tc>
        <w:tc>
          <w:tcPr>
            <w:tcMar>
              <w:top w:w="20" w:type="dxa"/>
              <w:bottom w:w="20" w:type="dxa"/>
              <w:left w:w="40" w:type="dxa"/>
              <w:right w:w="40" w:type="dxa"/>
            </w:tcMar>
          </w:tcPr>
          <w:p>
            <w:pPr>
              <w:spacing w:after="0" w:line="240" w:lineRule="auto"/>
            </w:pPr>
            <w:r>
              <w:rPr>
                <w:sz w:val="16"/>
                <w:szCs w:val="16"/>
              </w:rPr>
              <w:t xml:space="preserve">9321</w:t>
            </w:r>
          </w:p>
        </w:tc>
        <w:tc>
          <w:tcPr>
            <w:tcMar>
              <w:top w:w="20" w:type="dxa"/>
              <w:bottom w:w="20" w:type="dxa"/>
              <w:left w:w="40" w:type="dxa"/>
              <w:right w:w="40" w:type="dxa"/>
            </w:tcMar>
          </w:tcPr>
          <w:p>
            <w:pPr>
              <w:spacing w:after="0" w:line="240" w:lineRule="auto"/>
            </w:pPr>
            <w:r>
              <w:rPr>
                <w:sz w:val="16"/>
                <w:szCs w:val="16"/>
              </w:rPr>
              <w:t xml:space="preserve">14451</w:t>
            </w:r>
          </w:p>
        </w:tc>
      </w:tr>
      <w:tr>
        <w:tc>
          <w:tcPr>
            <w:tcMar>
              <w:top w:w="20" w:type="dxa"/>
              <w:bottom w:w="20" w:type="dxa"/>
              <w:left w:w="40" w:type="dxa"/>
              <w:right w:w="40" w:type="dxa"/>
            </w:tcMar>
          </w:tcPr>
          <w:p>
            <w:pPr>
              <w:spacing w:after="0" w:line="240" w:lineRule="auto"/>
            </w:pPr>
            <w:r>
              <w:rPr>
                <w:sz w:val="16"/>
                <w:szCs w:val="16"/>
              </w:rPr>
              <w:t xml:space="preserve">R-squared</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0.860</w:t>
            </w:r>
          </w:p>
        </w:tc>
        <w:tc>
          <w:tcPr>
            <w:tcMar>
              <w:top w:w="20" w:type="dxa"/>
              <w:bottom w:w="20" w:type="dxa"/>
              <w:left w:w="40" w:type="dxa"/>
              <w:right w:w="40" w:type="dxa"/>
            </w:tcMar>
          </w:tcPr>
          <w:p>
            <w:pPr>
              <w:spacing w:after="0" w:line="240" w:lineRule="auto"/>
            </w:pPr>
            <w:r>
              <w:rPr>
                <w:sz w:val="16"/>
                <w:szCs w:val="16"/>
              </w:rPr>
              <w:t xml:space="preserve">0.881</w:t>
            </w:r>
          </w:p>
        </w:tc>
        <w:tc>
          <w:tcPr>
            <w:tcMar>
              <w:top w:w="20" w:type="dxa"/>
              <w:bottom w:w="20" w:type="dxa"/>
              <w:left w:w="40" w:type="dxa"/>
              <w:right w:w="40" w:type="dxa"/>
            </w:tcMar>
          </w:tcPr>
          <w:p>
            <w:pPr>
              <w:spacing w:after="0" w:line="240" w:lineRule="auto"/>
            </w:pPr>
            <w:r>
              <w:rPr>
                <w:sz w:val="16"/>
                <w:szCs w:val="16"/>
              </w:rPr>
              <w:t xml:space="preserve">0.878</w:t>
            </w:r>
          </w:p>
        </w:tc>
      </w:tr>
    </w:tbl>
    <w:p>
      <w:pPr>
        <w:spacing w:after="0"/>
      </w:pPr>
    </w:p>
    <w:p>
      <w:pPr>
        <w:spacing w:after="20" w:line="276" w:lineRule="auto"/>
      </w:pPr>
      <w:r>
        <w:rPr>
          <w:i/>
          <w:sz w:val="16"/>
          <w:szCs w:val="16"/>
        </w:rPr>
        <w:t xml:space="preserve">Standard errors in parentheses</w:t>
      </w:r>
    </w:p>
    <w:p>
      <w:pPr>
        <w:spacing w:after="20" w:line="276" w:lineRule="auto"/>
      </w:pPr>
      <w:r>
        <w:rPr>
          <w:i/>
          <w:sz w:val="16"/>
          <w:szCs w:val="16"/>
        </w:rPr>
        <w:t xml:space="preserve">Strong-rule-of-law DiD around Paris (strong-WGI-index DiD in the last column). Tobit uses year FE, left-censored at zero; the rest use firm and year FE. Standard errors clustered by firm.</w:t>
      </w:r>
    </w:p>
    <w:p>
      <w:pPr>
        <w:spacing w:after="20" w:line="276" w:lineRule="auto"/>
      </w:pPr>
      <w:r>
        <w:rPr>
          <w:i/>
          <w:sz w:val="16"/>
          <w:szCs w:val="16"/>
        </w:rPr>
        <w:t xml:space="preserve">* p &lt; 0.10, ** p &lt; 0.05, *** p &lt; 0.01</w:t>
      </w:r>
    </w:p>
    <w:p>
      <w:pPr>
        <w:spacing w:after="60" w:line="276" w:lineRule="auto"/>
      </w:pPr>
      <w:r>
        <w:t xml:space="preserve"/>
      </w:r>
    </w:p>
    <w:p>
      <w:pPr>
        <w:spacing w:after="60" w:line="276" w:lineRule="auto"/>
      </w:pPr>
      <w:r>
        <w:rPr>
          <w:b/>
        </w:rPr>
        <w:t xml:space="preserve">Table 11. Institutional-dimension robustness (strong-tertile DiD)</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tblPr>
      <w:tblGrid>
        <w:gridCol/>
        <w:gridCol/>
        <w:gridCol/>
        <w:gridCol/>
        <w:gridCol/>
      </w:tblGrid>
      <w:tr>
        <w:tc>
          <w:tcPr>
            <w:tcMar>
              <w:top w:w="20" w:type="dxa"/>
              <w:bottom w:w="20" w:type="dxa"/>
              <w:left w:w="40" w:type="dxa"/>
              <w:right w:w="40" w:type="dxa"/>
            </w:tcMar>
          </w:tcPr>
          <w:p>
            <w:pPr>
              <w:spacing w:after="0" w:line="240" w:lineRule="auto"/>
            </w:pPr>
            <w:r>
              <w:rPr>
                <w:b/>
                <w:sz w:val="16"/>
                <w:szCs w:val="16"/>
              </w:rPr>
              <w:t xml:space="preserve"/>
            </w:r>
          </w:p>
        </w:tc>
        <w:tc>
          <w:tcPr>
            <w:tcMar>
              <w:top w:w="20" w:type="dxa"/>
              <w:bottom w:w="20" w:type="dxa"/>
              <w:left w:w="40" w:type="dxa"/>
              <w:right w:w="40" w:type="dxa"/>
            </w:tcMar>
          </w:tcPr>
          <w:p>
            <w:pPr>
              <w:spacing w:after="0" w:line="240" w:lineRule="auto"/>
            </w:pPr>
            <w:r>
              <w:rPr>
                <w:b/>
                <w:sz w:val="16"/>
                <w:szCs w:val="16"/>
              </w:rPr>
              <w:t xml:space="preserve">Rule of law</w:t>
            </w:r>
          </w:p>
        </w:tc>
        <w:tc>
          <w:tcPr>
            <w:tcMar>
              <w:top w:w="20" w:type="dxa"/>
              <w:bottom w:w="20" w:type="dxa"/>
              <w:left w:w="40" w:type="dxa"/>
              <w:right w:w="40" w:type="dxa"/>
            </w:tcMar>
          </w:tcPr>
          <w:p>
            <w:pPr>
              <w:spacing w:after="0" w:line="240" w:lineRule="auto"/>
            </w:pPr>
            <w:r>
              <w:rPr>
                <w:b/>
                <w:sz w:val="16"/>
                <w:szCs w:val="16"/>
              </w:rPr>
              <w:t xml:space="preserve">Reg quality</w:t>
            </w:r>
          </w:p>
        </w:tc>
        <w:tc>
          <w:tcPr>
            <w:tcMar>
              <w:top w:w="20" w:type="dxa"/>
              <w:bottom w:w="20" w:type="dxa"/>
              <w:left w:w="40" w:type="dxa"/>
              <w:right w:w="40" w:type="dxa"/>
            </w:tcMar>
          </w:tcPr>
          <w:p>
            <w:pPr>
              <w:spacing w:after="0" w:line="240" w:lineRule="auto"/>
            </w:pPr>
            <w:r>
              <w:rPr>
                <w:b/>
                <w:sz w:val="16"/>
                <w:szCs w:val="16"/>
              </w:rPr>
              <w:t xml:space="preserve">Corrupt ctrl</w:t>
            </w:r>
          </w:p>
        </w:tc>
        <w:tc>
          <w:tcPr>
            <w:tcMar>
              <w:top w:w="20" w:type="dxa"/>
              <w:bottom w:w="20" w:type="dxa"/>
              <w:left w:w="40" w:type="dxa"/>
              <w:right w:w="40" w:type="dxa"/>
            </w:tcMar>
          </w:tcPr>
          <w:p>
            <w:pPr>
              <w:spacing w:after="0" w:line="240" w:lineRule="auto"/>
            </w:pPr>
            <w:r>
              <w:rPr>
                <w:b/>
                <w:sz w:val="16"/>
                <w:szCs w:val="16"/>
              </w:rPr>
              <w:t xml:space="preserve">Govt effect</w:t>
            </w:r>
          </w:p>
        </w:tc>
      </w:tr>
      <w:tr>
        <w:tc>
          <w:tcPr>
            <w:tcMar>
              <w:top w:w="20" w:type="dxa"/>
              <w:bottom w:w="20" w:type="dxa"/>
              <w:left w:w="40" w:type="dxa"/>
              <w:right w:w="40" w:type="dxa"/>
            </w:tcMar>
          </w:tcPr>
          <w:p>
            <w:pPr>
              <w:spacing w:after="0" w:line="240" w:lineRule="auto"/>
            </w:pPr>
            <w:r>
              <w:rPr>
                <w:sz w:val="16"/>
                <w:szCs w:val="16"/>
              </w:rPr>
              <w:t xml:space="preserve">Post-Paris x Strong RoL</w:t>
            </w:r>
          </w:p>
        </w:tc>
        <w:tc>
          <w:tcPr>
            <w:tcMar>
              <w:top w:w="20" w:type="dxa"/>
              <w:bottom w:w="20" w:type="dxa"/>
              <w:left w:w="40" w:type="dxa"/>
              <w:right w:w="40" w:type="dxa"/>
            </w:tcMar>
          </w:tcPr>
          <w:p>
            <w:pPr>
              <w:spacing w:after="0" w:line="240" w:lineRule="auto"/>
            </w:pPr>
            <w:r>
              <w:rPr>
                <w:sz w:val="16"/>
                <w:szCs w:val="16"/>
              </w:rPr>
              <w:t xml:space="preserve">-0.2065</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(0.7415)</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Post-Paris x Strong reg quality</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-0.2721</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(0.7175)</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Post-Paris x Strong corruption ctrl</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-0.3665</w:t>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(0.7329)</w:t>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r>
      <w:tr>
        <w:tc>
          <w:tcPr>
            <w:tcMar>
              <w:top w:w="20" w:type="dxa"/>
              <w:bottom w:w="20" w:type="dxa"/>
              <w:left w:w="40" w:type="dxa"/>
              <w:right w:w="40" w:type="dxa"/>
            </w:tcMar>
          </w:tcPr>
          <w:p>
            <w:pPr>
              <w:spacing w:after="0" w:line="240" w:lineRule="auto"/>
            </w:pPr>
            <w:r>
              <w:rPr>
                <w:sz w:val="16"/>
                <w:szCs w:val="16"/>
              </w:rPr>
              <w:t xml:space="preserve">Post-Paris x Strong govt effectiveness</w:t>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-0.1842</w:t>
            </w:r>
          </w:p>
        </w:tc>
      </w:tr>
      <w:tr>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
            </w:r>
          </w:p>
        </w:tc>
        <w:tc>
          <w:tcPr>
            <w:tcMar>
              <w:top w:w="20" w:type="dxa"/>
              <w:bottom w:w="20" w:type="dxa"/>
              <w:left w:w="40" w:type="dxa"/>
              <w:right w:w="40" w:type="dxa"/>
            </w:tcMar>
          </w:tcPr>
          <w:p>
            <w:pPr>
              <w:spacing w:after="0" w:line="240" w:lineRule="auto"/>
            </w:pPr>
            <w:r>
              <w:rPr>
                <w:sz w:val="16"/>
                <w:szCs w:val="16"/>
              </w:rPr>
              <w:t xml:space="preserve">(0.7730)</w:t>
            </w:r>
          </w:p>
        </w:tc>
      </w:tr>
      <w:tr>
        <w:tc>
          <w:tcPr>
            <w:tcMar>
              <w:top w:w="20" w:type="dxa"/>
              <w:bottom w:w="20" w:type="dxa"/>
              <w:left w:w="40" w:type="dxa"/>
              <w:right w:w="40" w:type="dxa"/>
            </w:tcMar>
          </w:tcPr>
          <w:p>
            <w:pPr>
              <w:spacing w:after="0" w:line="240" w:lineRule="auto"/>
            </w:pPr>
            <w:r>
              <w:rPr>
                <w:sz w:val="16"/>
                <w:szCs w:val="16"/>
              </w:rPr>
              <w:t xml:space="preserve">WGI dimension</w:t>
            </w:r>
          </w:p>
        </w:tc>
        <w:tc>
          <w:tcPr>
            <w:tcMar>
              <w:top w:w="20" w:type="dxa"/>
              <w:bottom w:w="20" w:type="dxa"/>
              <w:left w:w="40" w:type="dxa"/>
              <w:right w:w="40" w:type="dxa"/>
            </w:tcMar>
          </w:tcPr>
          <w:p>
            <w:pPr>
              <w:spacing w:after="0" w:line="240" w:lineRule="auto"/>
            </w:pPr>
            <w:r>
              <w:rPr>
                <w:sz w:val="16"/>
                <w:szCs w:val="16"/>
              </w:rPr>
              <w:t xml:space="preserve">Rule of law</w:t>
            </w:r>
          </w:p>
        </w:tc>
        <w:tc>
          <w:tcPr>
            <w:tcMar>
              <w:top w:w="20" w:type="dxa"/>
              <w:bottom w:w="20" w:type="dxa"/>
              <w:left w:w="40" w:type="dxa"/>
              <w:right w:w="40" w:type="dxa"/>
            </w:tcMar>
          </w:tcPr>
          <w:p>
            <w:pPr>
              <w:spacing w:after="0" w:line="240" w:lineRule="auto"/>
            </w:pPr>
            <w:r>
              <w:rPr>
                <w:sz w:val="16"/>
                <w:szCs w:val="16"/>
              </w:rPr>
              <w:t xml:space="preserve">Reg quality</w:t>
            </w:r>
          </w:p>
        </w:tc>
        <w:tc>
          <w:tcPr>
            <w:tcMar>
              <w:top w:w="20" w:type="dxa"/>
              <w:bottom w:w="20" w:type="dxa"/>
              <w:left w:w="40" w:type="dxa"/>
              <w:right w:w="40" w:type="dxa"/>
            </w:tcMar>
          </w:tcPr>
          <w:p>
            <w:pPr>
              <w:spacing w:after="0" w:line="240" w:lineRule="auto"/>
            </w:pPr>
            <w:r>
              <w:rPr>
                <w:sz w:val="16"/>
                <w:szCs w:val="16"/>
              </w:rPr>
              <w:t xml:space="preserve">Corrupt ctrl</w:t>
            </w:r>
          </w:p>
        </w:tc>
        <w:tc>
          <w:tcPr>
            <w:tcMar>
              <w:top w:w="20" w:type="dxa"/>
              <w:bottom w:w="20" w:type="dxa"/>
              <w:left w:w="40" w:type="dxa"/>
              <w:right w:w="40" w:type="dxa"/>
            </w:tcMar>
          </w:tcPr>
          <w:p>
            <w:pPr>
              <w:spacing w:after="0" w:line="240" w:lineRule="auto"/>
            </w:pPr>
            <w:r>
              <w:rPr>
                <w:sz w:val="16"/>
                <w:szCs w:val="16"/>
              </w:rPr>
              <w:t xml:space="preserve">Govt effect</w:t>
            </w:r>
          </w:p>
        </w:tc>
      </w:tr>
      <w:tr>
        <w:tc>
          <w:tcPr>
            <w:tcMar>
              <w:top w:w="20" w:type="dxa"/>
              <w:bottom w:w="20" w:type="dxa"/>
              <w:left w:w="40" w:type="dxa"/>
              <w:right w:w="40" w:type="dxa"/>
            </w:tcMar>
          </w:tcPr>
          <w:p>
            <w:pPr>
              <w:spacing w:after="0" w:line="240" w:lineRule="auto"/>
            </w:pPr>
            <w:r>
              <w:rPr>
                <w:sz w:val="16"/>
                <w:szCs w:val="16"/>
              </w:rPr>
              <w:t xml:space="preserve">Observations</w:t>
            </w:r>
          </w:p>
        </w:tc>
        <w:tc>
          <w:tcPr>
            <w:tcMar>
              <w:top w:w="20" w:type="dxa"/>
              <w:bottom w:w="20" w:type="dxa"/>
              <w:left w:w="40" w:type="dxa"/>
              <w:right w:w="40" w:type="dxa"/>
            </w:tcMar>
          </w:tcPr>
          <w:p>
            <w:pPr>
              <w:spacing w:after="0" w:line="240" w:lineRule="auto"/>
            </w:pPr>
            <w:r>
              <w:rPr>
                <w:sz w:val="16"/>
                <w:szCs w:val="16"/>
              </w:rPr>
              <w:t xml:space="preserve">14451</w:t>
            </w:r>
          </w:p>
        </w:tc>
        <w:tc>
          <w:tcPr>
            <w:tcMar>
              <w:top w:w="20" w:type="dxa"/>
              <w:bottom w:w="20" w:type="dxa"/>
              <w:left w:w="40" w:type="dxa"/>
              <w:right w:w="40" w:type="dxa"/>
            </w:tcMar>
          </w:tcPr>
          <w:p>
            <w:pPr>
              <w:spacing w:after="0" w:line="240" w:lineRule="auto"/>
            </w:pPr>
            <w:r>
              <w:rPr>
                <w:sz w:val="16"/>
                <w:szCs w:val="16"/>
              </w:rPr>
              <w:t xml:space="preserve">14451</w:t>
            </w:r>
          </w:p>
        </w:tc>
        <w:tc>
          <w:tcPr>
            <w:tcMar>
              <w:top w:w="20" w:type="dxa"/>
              <w:bottom w:w="20" w:type="dxa"/>
              <w:left w:w="40" w:type="dxa"/>
              <w:right w:w="40" w:type="dxa"/>
            </w:tcMar>
          </w:tcPr>
          <w:p>
            <w:pPr>
              <w:spacing w:after="0" w:line="240" w:lineRule="auto"/>
            </w:pPr>
            <w:r>
              <w:rPr>
                <w:sz w:val="16"/>
                <w:szCs w:val="16"/>
              </w:rPr>
              <w:t xml:space="preserve">14451</w:t>
            </w:r>
          </w:p>
        </w:tc>
        <w:tc>
          <w:tcPr>
            <w:tcMar>
              <w:top w:w="20" w:type="dxa"/>
              <w:bottom w:w="20" w:type="dxa"/>
              <w:left w:w="40" w:type="dxa"/>
              <w:right w:w="40" w:type="dxa"/>
            </w:tcMar>
          </w:tcPr>
          <w:p>
            <w:pPr>
              <w:spacing w:after="0" w:line="240" w:lineRule="auto"/>
            </w:pPr>
            <w:r>
              <w:rPr>
                <w:sz w:val="16"/>
                <w:szCs w:val="16"/>
              </w:rPr>
              <w:t xml:space="preserve">14451</w:t>
            </w:r>
          </w:p>
        </w:tc>
      </w:tr>
      <w:tr>
        <w:tc>
          <w:tcPr>
            <w:tcMar>
              <w:top w:w="20" w:type="dxa"/>
              <w:bottom w:w="20" w:type="dxa"/>
              <w:left w:w="40" w:type="dxa"/>
              <w:right w:w="40" w:type="dxa"/>
            </w:tcMar>
          </w:tcPr>
          <w:p>
            <w:pPr>
              <w:spacing w:after="0" w:line="240" w:lineRule="auto"/>
            </w:pPr>
            <w:r>
              <w:rPr>
                <w:sz w:val="16"/>
                <w:szCs w:val="16"/>
              </w:rPr>
              <w:t xml:space="preserve">R-squared</w:t>
            </w:r>
          </w:p>
        </w:tc>
        <w:tc>
          <w:tcPr>
            <w:tcMar>
              <w:top w:w="20" w:type="dxa"/>
              <w:bottom w:w="20" w:type="dxa"/>
              <w:left w:w="40" w:type="dxa"/>
              <w:right w:w="40" w:type="dxa"/>
            </w:tcMar>
          </w:tcPr>
          <w:p>
            <w:pPr>
              <w:spacing w:after="0" w:line="240" w:lineRule="auto"/>
            </w:pPr>
            <w:r>
              <w:rPr>
                <w:sz w:val="16"/>
                <w:szCs w:val="16"/>
              </w:rPr>
              <w:t xml:space="preserve">0.878</w:t>
            </w:r>
          </w:p>
        </w:tc>
        <w:tc>
          <w:tcPr>
            <w:tcMar>
              <w:top w:w="20" w:type="dxa"/>
              <w:bottom w:w="20" w:type="dxa"/>
              <w:left w:w="40" w:type="dxa"/>
              <w:right w:w="40" w:type="dxa"/>
            </w:tcMar>
          </w:tcPr>
          <w:p>
            <w:pPr>
              <w:spacing w:after="0" w:line="240" w:lineRule="auto"/>
            </w:pPr>
            <w:r>
              <w:rPr>
                <w:sz w:val="16"/>
                <w:szCs w:val="16"/>
              </w:rPr>
              <w:t xml:space="preserve">0.878</w:t>
            </w:r>
          </w:p>
        </w:tc>
        <w:tc>
          <w:tcPr>
            <w:tcMar>
              <w:top w:w="20" w:type="dxa"/>
              <w:bottom w:w="20" w:type="dxa"/>
              <w:left w:w="40" w:type="dxa"/>
              <w:right w:w="40" w:type="dxa"/>
            </w:tcMar>
          </w:tcPr>
          <w:p>
            <w:pPr>
              <w:spacing w:after="0" w:line="240" w:lineRule="auto"/>
            </w:pPr>
            <w:r>
              <w:rPr>
                <w:sz w:val="16"/>
                <w:szCs w:val="16"/>
              </w:rPr>
              <w:t xml:space="preserve">0.878</w:t>
            </w:r>
          </w:p>
        </w:tc>
        <w:tc>
          <w:tcPr>
            <w:tcMar>
              <w:top w:w="20" w:type="dxa"/>
              <w:bottom w:w="20" w:type="dxa"/>
              <w:left w:w="40" w:type="dxa"/>
              <w:right w:w="40" w:type="dxa"/>
            </w:tcMar>
          </w:tcPr>
          <w:p>
            <w:pPr>
              <w:spacing w:after="0" w:line="240" w:lineRule="auto"/>
            </w:pPr>
            <w:r>
              <w:rPr>
                <w:sz w:val="16"/>
                <w:szCs w:val="16"/>
              </w:rPr>
              <w:t xml:space="preserve">0.878</w:t>
            </w:r>
          </w:p>
        </w:tc>
      </w:tr>
    </w:tbl>
    <w:p>
      <w:pPr>
        <w:spacing w:after="0"/>
      </w:pPr>
    </w:p>
    <w:p>
      <w:pPr>
        <w:spacing w:after="20" w:line="276" w:lineRule="auto"/>
      </w:pPr>
      <w:r>
        <w:rPr>
          <w:i/>
          <w:sz w:val="16"/>
          <w:szCs w:val="16"/>
        </w:rPr>
        <w:t xml:space="preserve">Standard errors in parentheses</w:t>
      </w:r>
    </w:p>
    <w:p>
      <w:pPr>
        <w:spacing w:after="20" w:line="276" w:lineRule="auto"/>
      </w:pPr>
      <w:r>
        <w:rPr>
          <w:i/>
          <w:sz w:val="16"/>
          <w:szCs w:val="16"/>
        </w:rPr>
        <w:t xml:space="preserve">Each column interacts post-Paris with a time-invariant strong-tertile indicator for one WGI dimension. The four dimensions correlate at about 0.94, so estimates are similar by construction. Firm and year FE; window 2013-2018. Standard errors clustered by firm.</w:t>
      </w:r>
    </w:p>
    <w:p>
      <w:pPr>
        <w:spacing w:after="20" w:line="276" w:lineRule="auto"/>
      </w:pPr>
      <w:r>
        <w:rPr>
          <w:i/>
          <w:sz w:val="16"/>
          <w:szCs w:val="16"/>
        </w:rPr>
        <w:t xml:space="preserve">* p &lt; 0.10, ** p &lt; 0.05, *** p &lt; 0.01</w:t>
      </w:r>
    </w:p>
    <w:p>
      <w:pPr>
        <w:spacing w:after="60" w:line="276" w:lineRule="auto"/>
      </w:pPr>
      <w:r>
        <w:t xml:space="preserve"/>
      </w:r>
    </w:p>
    <w:p>
      <w:pPr>
        <w:jc w:val="both"/>
        <w:spacing w:after="120" w:line="276" w:lineRule="auto"/>
      </w:pPr>
      <w:r>
        <w:t xml:space="preserve">Because identification rests on a parallel-trends assumption, the milestone ladder doubles as an indirect placebo test. If the strong-rule-of-law interaction merely tracked a pre-existing divergence between stronger and weaker-institution firms, it would appear uniformly across all milestones, including those imposing no new binding obligations. Instead, the substantive-innovation interaction is insignificant or small around the binding Paris treaty and shows no consistent build-up in the pre-Paris milestones, while the disclosure channel is where the negative, significant interactions concentrate. This milestone-by-milestone contrast is consistent with a treaty-conditioned symbolic response rather than a spurious common trend, though it is treated as supportive rather than dispositive. A full firm-level event study with estimated leads and lags around 2016 would provide a more direct test of pre-treatment parallelism, and the inability to estimate one within the present data structure is acknowledged as a limitation when interpreting the magnitude of the conditional effects.</w:t>
      </w:r>
    </w:p>
    <w:p>
      <w:pPr>
        <w:spacing w:before="200" w:after="120"/>
      </w:pPr>
      <w:r>
        <w:rPr>
          <w:b/>
          <w:sz w:val="26"/>
          <w:szCs w:val="26"/>
        </w:rPr>
        <w:t xml:space="preserve">5. Discussion</w:t>
      </w:r>
    </w:p>
    <w:p>
      <w:pPr>
        <w:jc w:val="both"/>
        <w:spacing w:after="120" w:line="276" w:lineRule="auto"/>
      </w:pPr>
      <w:r>
        <w:t xml:space="preserve">The results describe a consistent pattern: the institutional pressure generated by the Paris Agreement is absorbed unevenly across two distinct corporate channels. The substantive channel, green innovation, shows no average treaty effect and no conditional advantage for firms in stronger-institution settings. The symbolic channel, environmental disclosure, is where the institutional setting registers an empirically separable response. Read through institutional theory, this is the signature of decoupling: firms conform to the heightened legitimacy expectations created by an international treaty through the formal, low-cost structures of reporting, while the costly, operationally embedded work of innovation remains substantially buffered from that pressure (Meyer &amp; Rowan, 1977; Oliver, 1991).</w:t>
      </w:r>
    </w:p>
    <w:p>
      <w:pPr>
        <w:jc w:val="both"/>
        <w:spacing w:after="120" w:line="276" w:lineRule="auto"/>
      </w:pPr>
      <w:r>
        <w:t xml:space="preserve">The central conceptual contribution lies in respecifying what a strong rule of law does. The conventional expectation is deterrence, whereby stronger enforcement and scrutiny raise the cost of misleading claims and thereby suppress symbolic compliance (La Porta et al., 2008; Marquis et al., 2016). The evidence supports neither that expectation nor its opposite, namely that a strong rule of law mechanically amplifies disclosure. The rule-of-law interaction separates the two channels rather than uniformly inflating the symbolic one, producing a disclosure response that differs in pattern from the null innovation response. The implication is that institutional strength does not convert treaty pressure into real innovation; what it conditions is the reporting channel rather than the operational one. This reading extends the decoupling literature by locating the symbolic-substantive split at the level of the international treaty rather than the single firm or single country (Cho et al., 2015; Hawn &amp; Ioannou, 2016; Tashman et al., 2019).</w:t>
      </w:r>
    </w:p>
    <w:p>
      <w:pPr>
        <w:jc w:val="both"/>
        <w:spacing w:after="120" w:line="276" w:lineRule="auto"/>
      </w:pPr>
      <w:r>
        <w:t xml:space="preserve">A natural question is why the disclosure interaction loads negatively under a strong rule of law yet positively under common-law origin. The two moderators capture different institutional logics, and reading them together is instructive rather than contradictory. The rule-of-law tertile captures the strength of enforcement and scrutiny; in the most heavily scrutinized settings the marginal legitimacy return to additional disclosure after Paris is low, since baseline reporting is already high and further claims invite verification, so stronger-institution firms do not expand disclosure relative to their weaker-institution peers. Legal origin captures the logic of corporate legitimation: common-law systems are organized around shareholder primacy and market-based, disclosure-led accountability (Liang &amp; Renneboog, 2017). In that tradition the natural response to a global legitimacy shock is to communicate, to reach for the disclosure channel, producing the large, significant post-Paris disclosure effect observed here with no matching gain in substantive innovation. The two findings are thus complementary facets of one phenomenon: institutional context shapes which channel firms use and how intensively, though in neither case does it convert treaty pressure into substantive environmental upgrading.</w:t>
      </w:r>
    </w:p>
    <w:p>
      <w:pPr>
        <w:jc w:val="both"/>
        <w:spacing w:after="120" w:line="276" w:lineRule="auto"/>
      </w:pPr>
      <w:r>
        <w:t xml:space="preserve">The legal-origin result is the clearest expression of the paper's thesis and connects directly to current concern with greenwashing and the intention-action gap. Common-law firms respond to the treaty by saying more without doing more, the defining structure of symbolic environmental compliance (Bansal &amp; Clelland, 2004; Lyon &amp; Maxwell, 2011). This dovetails with recent evidence that environmental decoupling persists in well-governed, heavily scrutinized markets (Eliwa et al., 2023; Kercher et al., 2026). The cross-country evidence here generalizes those firm- and country-level findings: an international treaty can harmonize environmental talk across jurisdictions while leaving environmental action largely in place. Consistent with a treaty-level disclosure response, recent evidence finds that ratification of the Paris Agreement raised carbon-information disclosure among carbon-intensive firms even as it left the underlying performance question open (Fan et al., 2025).</w:t>
      </w:r>
    </w:p>
    <w:p>
      <w:pPr>
        <w:jc w:val="both"/>
        <w:spacing w:after="120" w:line="276" w:lineRule="auto"/>
      </w:pPr>
      <w:r>
        <w:t xml:space="preserve">This aligns with a fast-growing measurement literature that has begun to quantify the talk-action gap directly. Cross-country work constructing greenwashing scores from the divergence between disclosure and performance finds the gap largest precisely where disclosure is highest, and finds advanced markets distinguished from emerging ones less by the absence of greenwashing than by the degree to which high disclosure is matched by high performance (Kercher et al., 2026). Frameworks scoring the credibility of corporate climate pledges reach a similar conclusion, reporting greenwashing-risk indicators that are pervasive and only weakly related to announced ambition (Manya et al., 2026). The pattern also tempers a parallel literature finding that ESG and governance pressures stimulate measurable green innovation in some settings (Makeeva et al., 2024; Yang et al., 2024), since the present evidence suggests that, at the level of an international treaty, such stimulation does not generalize to the average firm. The contribution here is to show that the gap is not merely a static cross-sectional feature: it is activated by an international treaty, and its expression is patterned by legal origin.</w:t>
      </w:r>
    </w:p>
    <w:p>
      <w:pPr>
        <w:jc w:val="both"/>
        <w:spacing w:after="120" w:line="276" w:lineRule="auto"/>
      </w:pPr>
      <w:r>
        <w:t xml:space="preserve">Two boundary considerations sharpen the interpretation. First, the prominence of the ESG-score coefficient in the baseline model is consistent with the broader caution that composite sustainability ratings are driven heavily by disclosure-type content and are therefore weak proxies for substantive innovation (Berg et al., 2022; Christensen et al., 2021). Studies that bundle disclosure and innovation into a single ESG metric will tend to mistake symbolic responsiveness for real change, precisely the conflation the two-outcome design is built to avoid. Second, the milestone-by-milestone pattern, a flat substantive response around the binding Paris treaty with the conditional action concentrated in the disclosure channel, sits uneasily with the assumption that strong institutions reliably translate international commitments into firm-level innovation. The strongest version of this point rests on legal origin rather than the rule of law, since it is common-law firms whose response is most clearly confined to talk, whereas the rule-of-law evidence shows separation between the channels rather than an outright symbolic surge. Together, the two moderators caution against equating institutional strength with substantive environmental change.</w:t>
      </w:r>
    </w:p>
    <w:p>
      <w:pPr>
        <w:spacing w:before="200" w:after="120"/>
      </w:pPr>
      <w:r>
        <w:rPr>
          <w:b/>
          <w:sz w:val="26"/>
          <w:szCs w:val="26"/>
        </w:rPr>
        <w:t xml:space="preserve">6. Conclusions and Implications</w:t>
      </w:r>
    </w:p>
    <w:p>
      <w:pPr>
        <w:jc w:val="both"/>
        <w:spacing w:after="120" w:line="276" w:lineRule="auto"/>
      </w:pPr>
      <w:r>
        <w:t xml:space="preserve">This study asked whether the institutional pressure created by the Paris Agreement translated into substantive corporate green innovation or primarily into symbolic environmental disclosure, and how the rule of law shaped that response. Using an international firm-year panel and a difference-in-differences design that interacts a common post-Paris indicator with time-invariant institutional characteristics, the analysis finds that the treaty shows no robust evidence of an average effect on substantive green innovation, that a strong rule of law separates the symbolic from the substantive channel without amplifying disclosure, and that common-law firms increased environmental disclosure after Paris with no corresponding gain in innovation. The configuration is the empirical signature of institutional decoupling operating at the level of an international treaty.</w:t>
      </w:r>
    </w:p>
    <w:p>
      <w:pPr>
        <w:jc w:val="both"/>
        <w:spacing w:after="120" w:line="276" w:lineRule="auto"/>
      </w:pPr>
      <w:r>
        <w:t xml:space="preserve">Theoretically, the study extends decoupling theory in two ways. It relocates the symbolic-substantive split from its usual settings, the single firm or single country, to the level of a global treaty, showing that an international legitimacy shock can produce convergence in environmental talk across jurisdictions without convergence in environmental action. And it revises the expected role of the rule of law, which, rather than functioning straightforwardly as a deterrent against symbolic compliance, operates as a separator of channels that conditions the disclosure response distinctly from the innovation response. Positioning institutional strength as a moderator of which channel firms use, rather than a guarantor of substance, is the paper's central conceptual contribution, with legal origin providing the clearest evidence that the conditioned response is symbolic.</w:t>
      </w:r>
    </w:p>
    <w:p>
      <w:pPr>
        <w:jc w:val="both"/>
        <w:spacing w:after="120" w:line="276" w:lineRule="auto"/>
      </w:pPr>
      <w:r>
        <w:t xml:space="preserve">For boards, investors, and analysts, the principal lesson is that disclosure intensity is a poor proxy for substantive environmental innovation, and the two should be evaluated separately. The strong loading of the ESG score on the raw innovation metric, together with the symbolic response among common-law firms, implies that climate-performance assessments built on composite ratings risk rewarding firms that report more rather than firms that change more. Stakeholders evaluating corporate climate responses, particularly in disclosure-led, common-law markets, should treat a post-treaty surge in environmental reporting with caution and seek independent, operationally grounded evidence of innovation before inferring substance from talk.</w:t>
      </w:r>
    </w:p>
    <w:p>
      <w:pPr>
        <w:jc w:val="both"/>
        <w:spacing w:after="120" w:line="276" w:lineRule="auto"/>
      </w:pPr>
      <w:r>
        <w:t xml:space="preserve">For policymakers, the results carry a design caution. International agreements and disclosure mandates raise the legitimacy salience of climate action but, absent binding firm-level obligations, create strong incentives to respond through the reporting channel. Disclosure requirements not paired with substantive innovation incentives, such as conditional research support, technology-deployment mandates, or verification tied to operational outcomes, may inadvertently reward symbolic compliance, particularly where scrutiny is high and reporting infrastructure is well developed. Coupling transparency rules with mechanisms that make action, rather than disclosure, the path of least resistance is the implication that follows most directly from the evidence.</w:t>
      </w:r>
    </w:p>
    <w:p>
      <w:pPr>
        <w:jc w:val="both"/>
        <w:spacing w:after="120" w:line="276" w:lineRule="auto"/>
      </w:pPr>
      <w:r>
        <w:t xml:space="preserve">Several limitations qualify these conclusions and set an agenda for future work. First, the design is quasi-experimental rather than fully causal. Identification rests on a parallel-trends assumption, and although the milestone ladder provides an indirect placebo benchmark, the present data structure does not permit a full firm-level event study with estimated leads and lags around 2016. Estimating such a study, ideally with recent heterogeneity-robust estimators (Callaway &amp; Sant'Anna, 2021), is the most important next step and would either strengthen or qualify the causal interpretation of the conditional effects. Second, both dependent variables are third-party constructs, and the disclosure-innovation distinction, though central to the argument, is measured rather than observed without error; triangulating these scores against patent-based measures of green innovation and against independently verified operational outcomes would test the robustness of the split. Third, the sample, like most cross-country firm panels, tilts toward large listed firms concentrated in a few major markets, and financial controls begin around 2011, which limits analysis of the earliest milestones; the findings should therefore be generalized to private firms and under-represented economies only with caution. These limitations point to a productive agenda: examining the firm-level mechanisms of decoupling, namely the governance, ownership, and managerial incentives that determine whether treaty pressure is met with reporting or with innovation, tracking longitudinally whether early post-treaty disclosure eventually converts into substantive innovation, and exploring sector-specific decoupling given the suggestive evidence that the conditional pattern is sharper among polluting firms.</w:t>
      </w:r>
    </w:p>
    <w:p>
      <w:pPr>
        <w:spacing w:before="200" w:after="120"/>
      </w:pPr>
      <w:r>
        <w:rPr>
          <w:b/>
          <w:sz w:val="26"/>
          <w:szCs w:val="26"/>
        </w:rPr>
        <w:t xml:space="preserve">References</w:t>
      </w:r>
    </w:p>
    <w:p>
      <w:pPr>
        <w:ind w:left="480" w:hanging="480"/>
        <w:spacing w:after="80" w:line="276" w:lineRule="auto"/>
        <w:jc w:val="left"/>
      </w:pPr>
      <w:r>
        <w:rPr>
          <w:sz w:val="22"/>
          <w:szCs w:val="22"/>
        </w:rPr>
        <w:t xml:space="preserve">Acharya, V. V., Engle, R. F., &amp; Wang, O. (2025). Corporate climate commitments: Empty promises or profit-driven strategy? NYU Stern School of Business working paper.</w:t>
      </w:r>
    </w:p>
    <w:p>
      <w:pPr>
        <w:ind w:left="480" w:hanging="480"/>
        <w:spacing w:after="80" w:line="276" w:lineRule="auto"/>
        <w:jc w:val="left"/>
      </w:pPr>
      <w:r>
        <w:rPr>
          <w:sz w:val="22"/>
          <w:szCs w:val="22"/>
        </w:rPr>
        <w:t xml:space="preserve">Aguinis, H., &amp; Glavas, A. (2012). What we know and don’t know about corporate social responsibility: A review and research agenda. Journal of Management, 38(4), 932-968. </w:t>
      </w:r>
      <w:hyperlink r:id="rId100" w:history="1">
        <w:r>
          <w:rPr>
            <w:rStyle w:val="Hyperlink"/>
            <w:rFonts w:ascii="Times New Roman" w:hAnsi="Times New Roman"/>
            <w:color w:val="0563C1"/>
            <w:u w:val="single"/>
            <w:sz w:val="22"/>
            <w:szCs w:val="22"/>
          </w:rPr>
          <w:t xml:space="preserve">https://doi.org/10.1177/0149206311436079</w:t>
        </w:r>
      </w:hyperlink>
    </w:p>
    <w:p>
      <w:pPr>
        <w:ind w:left="480" w:hanging="480"/>
        <w:spacing w:after="80" w:line="276" w:lineRule="auto"/>
        <w:jc w:val="left"/>
      </w:pPr>
      <w:r>
        <w:rPr>
          <w:sz w:val="22"/>
          <w:szCs w:val="22"/>
        </w:rPr>
        <w:t xml:space="preserve">Ali, W., Wilson, J., &amp; Husnain, M. (2024). Corporate governance mechanisms and carbon disclosure: A multilevel and multitheory literature survey. Corporate Social Responsibility and Environmental Management, 31(4), 3215-3239. </w:t>
      </w:r>
      <w:hyperlink r:id="rId101" w:history="1">
        <w:r>
          <w:rPr>
            <w:rStyle w:val="Hyperlink"/>
            <w:rFonts w:ascii="Times New Roman" w:hAnsi="Times New Roman"/>
            <w:color w:val="0563C1"/>
            <w:u w:val="single"/>
            <w:sz w:val="22"/>
            <w:szCs w:val="22"/>
          </w:rPr>
          <w:t xml:space="preserve">https://doi.org/10.1002/csr.2869</w:t>
        </w:r>
      </w:hyperlink>
    </w:p>
    <w:p>
      <w:pPr>
        <w:ind w:left="480" w:hanging="480"/>
        <w:spacing w:after="80" w:line="276" w:lineRule="auto"/>
        <w:jc w:val="left"/>
      </w:pPr>
      <w:r>
        <w:rPr>
          <w:sz w:val="22"/>
          <w:szCs w:val="22"/>
        </w:rPr>
        <w:t xml:space="preserve">Alsaifi, K., Elnahass, M., &amp; Salama, A. (2020). Carbon disclosure and financial performance: UK environmental policy. Business Strategy and the Environment, 29(2), 711-726. </w:t>
      </w:r>
      <w:hyperlink r:id="rId102" w:history="1">
        <w:r>
          <w:rPr>
            <w:rStyle w:val="Hyperlink"/>
            <w:rFonts w:ascii="Times New Roman" w:hAnsi="Times New Roman"/>
            <w:color w:val="0563C1"/>
            <w:u w:val="single"/>
            <w:sz w:val="22"/>
            <w:szCs w:val="22"/>
          </w:rPr>
          <w:t xml:space="preserve">https://doi.org/10.1002/bse.2426</w:t>
        </w:r>
      </w:hyperlink>
    </w:p>
    <w:p>
      <w:pPr>
        <w:ind w:left="480" w:hanging="480"/>
        <w:spacing w:after="80" w:line="276" w:lineRule="auto"/>
        <w:jc w:val="left"/>
      </w:pPr>
      <w:r>
        <w:rPr>
          <w:sz w:val="22"/>
          <w:szCs w:val="22"/>
        </w:rPr>
        <w:t xml:space="preserve">Ambec, S., Cohen, M. A., Elgie, S., &amp; Lanoie, P. (2013). The Porter hypothesis at 20: Can environmental regulation enhance innovation and competitiveness? Review of Environmental Economics and Policy, 7(1), 2-22. </w:t>
      </w:r>
      <w:hyperlink r:id="rId103" w:history="1">
        <w:r>
          <w:rPr>
            <w:rStyle w:val="Hyperlink"/>
            <w:rFonts w:ascii="Times New Roman" w:hAnsi="Times New Roman"/>
            <w:color w:val="0563C1"/>
            <w:u w:val="single"/>
            <w:sz w:val="22"/>
            <w:szCs w:val="22"/>
          </w:rPr>
          <w:t xml:space="preserve">https://doi.org/10.1093/reep/ret008</w:t>
        </w:r>
      </w:hyperlink>
    </w:p>
    <w:p>
      <w:pPr>
        <w:ind w:left="480" w:hanging="480"/>
        <w:spacing w:after="80" w:line="276" w:lineRule="auto"/>
        <w:jc w:val="left"/>
      </w:pPr>
      <w:r>
        <w:rPr>
          <w:sz w:val="22"/>
          <w:szCs w:val="22"/>
        </w:rPr>
        <w:t xml:space="preserve">Aragón-Correa, J. A., Marcus, A. A., &amp; Vogel, D. (2020). The effects of mandatory and voluntary regulatory pressures on firms’ environmental strategies: A review and recommendations for future research. Academy of Management Annals, 14(1), 339-365. </w:t>
      </w:r>
      <w:hyperlink r:id="rId104" w:history="1">
        <w:r>
          <w:rPr>
            <w:rStyle w:val="Hyperlink"/>
            <w:rFonts w:ascii="Times New Roman" w:hAnsi="Times New Roman"/>
            <w:color w:val="0563C1"/>
            <w:u w:val="single"/>
            <w:sz w:val="22"/>
            <w:szCs w:val="22"/>
          </w:rPr>
          <w:t xml:space="preserve">https://doi.org/10.5465/annals.2018.0014</w:t>
        </w:r>
      </w:hyperlink>
    </w:p>
    <w:p>
      <w:pPr>
        <w:ind w:left="480" w:hanging="480"/>
        <w:spacing w:after="80" w:line="276" w:lineRule="auto"/>
        <w:jc w:val="left"/>
      </w:pPr>
      <w:r>
        <w:rPr>
          <w:sz w:val="22"/>
          <w:szCs w:val="22"/>
        </w:rPr>
        <w:t xml:space="preserve">Bae, S. M., Masud, M. A. K., &amp; Kim, J. D. (2018). A cross-country investigation of corporate governance and corporate sustainability disclosure: A signaling theory perspective. Sustainability, 10(8), 2611. </w:t>
      </w:r>
      <w:hyperlink r:id="rId105" w:history="1">
        <w:r>
          <w:rPr>
            <w:rStyle w:val="Hyperlink"/>
            <w:rFonts w:ascii="Times New Roman" w:hAnsi="Times New Roman"/>
            <w:color w:val="0563C1"/>
            <w:u w:val="single"/>
            <w:sz w:val="22"/>
            <w:szCs w:val="22"/>
          </w:rPr>
          <w:t xml:space="preserve">https://doi.org/10.3390/su10082611</w:t>
        </w:r>
      </w:hyperlink>
    </w:p>
    <w:p>
      <w:pPr>
        <w:ind w:left="480" w:hanging="480"/>
        <w:spacing w:after="80" w:line="276" w:lineRule="auto"/>
        <w:jc w:val="left"/>
      </w:pPr>
      <w:r>
        <w:rPr>
          <w:sz w:val="22"/>
          <w:szCs w:val="22"/>
        </w:rPr>
        <w:t xml:space="preserve">Bansal, P., &amp; Clelland, I. (2004). Talking trash: Legitimacy, impression management, and unsystematic risk in the context of the natural environment. Academy of Management Journal, 47(1), 93-103. </w:t>
      </w:r>
      <w:hyperlink r:id="rId106" w:history="1">
        <w:r>
          <w:rPr>
            <w:rStyle w:val="Hyperlink"/>
            <w:rFonts w:ascii="Times New Roman" w:hAnsi="Times New Roman"/>
            <w:color w:val="0563C1"/>
            <w:u w:val="single"/>
            <w:sz w:val="22"/>
            <w:szCs w:val="22"/>
          </w:rPr>
          <w:t xml:space="preserve">https://doi.org/10.5465/20159562</w:t>
        </w:r>
      </w:hyperlink>
    </w:p>
    <w:p>
      <w:pPr>
        <w:ind w:left="480" w:hanging="480"/>
        <w:spacing w:after="80" w:line="276" w:lineRule="auto"/>
        <w:jc w:val="left"/>
      </w:pPr>
      <w:r>
        <w:rPr>
          <w:sz w:val="22"/>
          <w:szCs w:val="22"/>
        </w:rPr>
        <w:t xml:space="preserve">Berchicci, L., &amp; King, A. (2007). Postcards from the edge: A review of the business and environment literature. Academy of Management Annals, 1(1), 513-547. </w:t>
      </w:r>
      <w:hyperlink r:id="rId107" w:history="1">
        <w:r>
          <w:rPr>
            <w:rStyle w:val="Hyperlink"/>
            <w:rFonts w:ascii="Times New Roman" w:hAnsi="Times New Roman"/>
            <w:color w:val="0563C1"/>
            <w:u w:val="single"/>
            <w:sz w:val="22"/>
            <w:szCs w:val="22"/>
          </w:rPr>
          <w:t xml:space="preserve">https://doi.org/10.5465/078559816</w:t>
        </w:r>
      </w:hyperlink>
    </w:p>
    <w:p>
      <w:pPr>
        <w:ind w:left="480" w:hanging="480"/>
        <w:spacing w:after="80" w:line="276" w:lineRule="auto"/>
        <w:jc w:val="left"/>
      </w:pPr>
      <w:r>
        <w:rPr>
          <w:sz w:val="22"/>
          <w:szCs w:val="22"/>
        </w:rPr>
        <w:t xml:space="preserve">Berg, F., Kölbel, J. F., &amp; Rigobon, R. (2022). Aggregate confusion: The divergence of ESG ratings. Review of Finance, 26(6), 1315-1344. </w:t>
      </w:r>
      <w:hyperlink r:id="rId108" w:history="1">
        <w:r>
          <w:rPr>
            <w:rStyle w:val="Hyperlink"/>
            <w:rFonts w:ascii="Times New Roman" w:hAnsi="Times New Roman"/>
            <w:color w:val="0563C1"/>
            <w:u w:val="single"/>
            <w:sz w:val="22"/>
            <w:szCs w:val="22"/>
          </w:rPr>
          <w:t xml:space="preserve">https://doi.org/10.1093/rof/rfac033</w:t>
        </w:r>
      </w:hyperlink>
    </w:p>
    <w:p>
      <w:pPr>
        <w:ind w:left="480" w:hanging="480"/>
        <w:spacing w:after="80" w:line="276" w:lineRule="auto"/>
        <w:jc w:val="left"/>
      </w:pPr>
      <w:r>
        <w:rPr>
          <w:sz w:val="22"/>
          <w:szCs w:val="22"/>
        </w:rPr>
        <w:t xml:space="preserve">Berrone, P., &amp; Gomez-Mejia, L. R. (2009). Environmental performance and executive compensation: An integrated agency-institutional perspective. Academy of Management Journal, 52(1), 103-126. </w:t>
      </w:r>
      <w:hyperlink r:id="rId109" w:history="1">
        <w:r>
          <w:rPr>
            <w:rStyle w:val="Hyperlink"/>
            <w:rFonts w:ascii="Times New Roman" w:hAnsi="Times New Roman"/>
            <w:color w:val="0563C1"/>
            <w:u w:val="single"/>
            <w:sz w:val="22"/>
            <w:szCs w:val="22"/>
          </w:rPr>
          <w:t xml:space="preserve">https://doi.org/10.5465/AMJ.2009.36461950</w:t>
        </w:r>
      </w:hyperlink>
    </w:p>
    <w:p>
      <w:pPr>
        <w:ind w:left="480" w:hanging="480"/>
        <w:spacing w:after="80" w:line="276" w:lineRule="auto"/>
        <w:jc w:val="left"/>
      </w:pPr>
      <w:r>
        <w:rPr>
          <w:sz w:val="22"/>
          <w:szCs w:val="22"/>
        </w:rPr>
        <w:t xml:space="preserve">Berrone, P., Fosfuri, A., Gelabert, L., &amp; Gomez-Mejia, L. R. (2013). Necessity as the mother of green inventions: Institutional pressures and environmental innovations. Strategic Management Journal, 34(8), 891-909. </w:t>
      </w:r>
      <w:hyperlink r:id="rId110" w:history="1">
        <w:r>
          <w:rPr>
            <w:rStyle w:val="Hyperlink"/>
            <w:rFonts w:ascii="Times New Roman" w:hAnsi="Times New Roman"/>
            <w:color w:val="0563C1"/>
            <w:u w:val="single"/>
            <w:sz w:val="22"/>
            <w:szCs w:val="22"/>
          </w:rPr>
          <w:t xml:space="preserve">https://doi.org/10.1002/smj.2041</w:t>
        </w:r>
      </w:hyperlink>
    </w:p>
    <w:p>
      <w:pPr>
        <w:ind w:left="480" w:hanging="480"/>
        <w:spacing w:after="80" w:line="276" w:lineRule="auto"/>
        <w:jc w:val="left"/>
      </w:pPr>
      <w:r>
        <w:rPr>
          <w:sz w:val="22"/>
          <w:szCs w:val="22"/>
        </w:rPr>
        <w:t xml:space="preserve">Bertrand, M., Duflo, E., &amp; Mullainathan, S. (2004). How much should we trust differences-in-differences estimates? Quarterly Journal of Economics, 119(1), 249-275. </w:t>
      </w:r>
      <w:hyperlink r:id="rId111" w:history="1">
        <w:r>
          <w:rPr>
            <w:rStyle w:val="Hyperlink"/>
            <w:rFonts w:ascii="Times New Roman" w:hAnsi="Times New Roman"/>
            <w:color w:val="0563C1"/>
            <w:u w:val="single"/>
            <w:sz w:val="22"/>
            <w:szCs w:val="22"/>
          </w:rPr>
          <w:t xml:space="preserve">https://doi.org/10.1162/003355304772839588</w:t>
        </w:r>
      </w:hyperlink>
    </w:p>
    <w:p>
      <w:pPr>
        <w:ind w:left="480" w:hanging="480"/>
        <w:spacing w:after="80" w:line="276" w:lineRule="auto"/>
        <w:jc w:val="left"/>
      </w:pPr>
      <w:r>
        <w:rPr>
          <w:sz w:val="22"/>
          <w:szCs w:val="22"/>
        </w:rPr>
        <w:t xml:space="preserve">Bettarelli, L., Furceri, D., Pizzuto, P., &amp; Shakoor, N. (2025). Do climate policies affect green patenting patterns? Energy Economics, 150, 108834. </w:t>
      </w:r>
      <w:hyperlink r:id="rId112" w:history="1">
        <w:r>
          <w:rPr>
            <w:rStyle w:val="Hyperlink"/>
            <w:rFonts w:ascii="Times New Roman" w:hAnsi="Times New Roman"/>
            <w:color w:val="0563C1"/>
            <w:u w:val="single"/>
            <w:sz w:val="22"/>
            <w:szCs w:val="22"/>
          </w:rPr>
          <w:t xml:space="preserve">https://doi.org/10.1016/j.eneco.2025.108834</w:t>
        </w:r>
      </w:hyperlink>
    </w:p>
    <w:p>
      <w:pPr>
        <w:ind w:left="480" w:hanging="480"/>
        <w:spacing w:after="80" w:line="276" w:lineRule="auto"/>
        <w:jc w:val="left"/>
      </w:pPr>
      <w:r>
        <w:rPr>
          <w:sz w:val="22"/>
          <w:szCs w:val="22"/>
        </w:rPr>
        <w:t xml:space="preserve">Bhuiyan, F., Rana, T., Baird, K., &amp; Munir, R. (2023). Strategic outcome of competitive advantage from corporate sustainability practices: Institutional theory perspective from an emerging economy. Business Strategy and the Environment, 32(7), 4217-4243. </w:t>
      </w:r>
      <w:hyperlink r:id="rId113" w:history="1">
        <w:r>
          <w:rPr>
            <w:rStyle w:val="Hyperlink"/>
            <w:rFonts w:ascii="Times New Roman" w:hAnsi="Times New Roman"/>
            <w:color w:val="0563C1"/>
            <w:u w:val="single"/>
            <w:sz w:val="22"/>
            <w:szCs w:val="22"/>
          </w:rPr>
          <w:t xml:space="preserve">https://doi.org/10.1002/bse.3362</w:t>
        </w:r>
      </w:hyperlink>
    </w:p>
    <w:p>
      <w:pPr>
        <w:ind w:left="480" w:hanging="480"/>
        <w:spacing w:after="80" w:line="276" w:lineRule="auto"/>
        <w:jc w:val="left"/>
      </w:pPr>
      <w:r>
        <w:rPr>
          <w:sz w:val="22"/>
          <w:szCs w:val="22"/>
        </w:rPr>
        <w:t xml:space="preserve">Bodansky, D. (2016). The legal character of the Paris Agreement. Review of European, Comparative &amp; International Environmental Law, 25(2), 142-150. </w:t>
      </w:r>
      <w:hyperlink r:id="rId114" w:history="1">
        <w:r>
          <w:rPr>
            <w:rStyle w:val="Hyperlink"/>
            <w:rFonts w:ascii="Times New Roman" w:hAnsi="Times New Roman"/>
            <w:color w:val="0563C1"/>
            <w:u w:val="single"/>
            <w:sz w:val="22"/>
            <w:szCs w:val="22"/>
          </w:rPr>
          <w:t xml:space="preserve">https://doi.org/10.1111/reel.12154</w:t>
        </w:r>
      </w:hyperlink>
    </w:p>
    <w:p>
      <w:pPr>
        <w:ind w:left="480" w:hanging="480"/>
        <w:spacing w:after="80" w:line="276" w:lineRule="auto"/>
        <w:jc w:val="left"/>
      </w:pPr>
      <w:r>
        <w:rPr>
          <w:sz w:val="22"/>
          <w:szCs w:val="22"/>
        </w:rPr>
        <w:t xml:space="preserve">Boiral, O., Brotherton, M.-C., &amp; Talbot, D. (2024). What you see is what you get? Building confidence in ESG disclosures for sustainable finance through external assurance. Business Ethics, the Environment &amp; Responsibility, 33(4), 617-632. </w:t>
      </w:r>
      <w:hyperlink r:id="rId115" w:history="1">
        <w:r>
          <w:rPr>
            <w:rStyle w:val="Hyperlink"/>
            <w:rFonts w:ascii="Times New Roman" w:hAnsi="Times New Roman"/>
            <w:color w:val="0563C1"/>
            <w:u w:val="single"/>
            <w:sz w:val="22"/>
            <w:szCs w:val="22"/>
          </w:rPr>
          <w:t xml:space="preserve">https://doi.org/10.1111/beer.12630</w:t>
        </w:r>
      </w:hyperlink>
    </w:p>
    <w:p>
      <w:pPr>
        <w:ind w:left="480" w:hanging="480"/>
        <w:spacing w:after="80" w:line="276" w:lineRule="auto"/>
        <w:jc w:val="left"/>
      </w:pPr>
      <w:r>
        <w:rPr>
          <w:sz w:val="22"/>
          <w:szCs w:val="22"/>
        </w:rPr>
        <w:t xml:space="preserve">Bolton, P., &amp; Kacperczyk, M. (2021). Do investors care about carbon risk? Journal of Financial Economics, 142(2), 517-549. </w:t>
      </w:r>
      <w:hyperlink r:id="rId116" w:history="1">
        <w:r>
          <w:rPr>
            <w:rStyle w:val="Hyperlink"/>
            <w:rFonts w:ascii="Times New Roman" w:hAnsi="Times New Roman"/>
            <w:color w:val="0563C1"/>
            <w:u w:val="single"/>
            <w:sz w:val="22"/>
            <w:szCs w:val="22"/>
          </w:rPr>
          <w:t xml:space="preserve">https://doi.org/10.1016/j.jfineco.2021.05.008</w:t>
        </w:r>
      </w:hyperlink>
    </w:p>
    <w:p>
      <w:pPr>
        <w:ind w:left="480" w:hanging="480"/>
        <w:spacing w:after="80" w:line="276" w:lineRule="auto"/>
        <w:jc w:val="left"/>
      </w:pPr>
      <w:r>
        <w:rPr>
          <w:sz w:val="22"/>
          <w:szCs w:val="22"/>
        </w:rPr>
        <w:t xml:space="preserve">Bolton, P., Kacperczyk, M., &amp; Wiedemann, M. (2023). Climate patents and financial markets. ECGI Finance working paper.</w:t>
      </w:r>
    </w:p>
    <w:p>
      <w:pPr>
        <w:ind w:left="480" w:hanging="480"/>
        <w:spacing w:after="80" w:line="276" w:lineRule="auto"/>
        <w:jc w:val="left"/>
      </w:pPr>
      <w:r>
        <w:rPr>
          <w:sz w:val="22"/>
          <w:szCs w:val="22"/>
        </w:rPr>
        <w:t xml:space="preserve">Borghei, Z. (2021). Carbon disclosure: A systematic literature review. Accounting &amp; Finance, 61(4), 5255-5280. </w:t>
      </w:r>
      <w:hyperlink r:id="rId117" w:history="1">
        <w:r>
          <w:rPr>
            <w:rStyle w:val="Hyperlink"/>
            <w:rFonts w:ascii="Times New Roman" w:hAnsi="Times New Roman"/>
            <w:color w:val="0563C1"/>
            <w:u w:val="single"/>
            <w:sz w:val="22"/>
            <w:szCs w:val="22"/>
          </w:rPr>
          <w:t xml:space="preserve">https://doi.org/10.1111/acfi.12757</w:t>
        </w:r>
      </w:hyperlink>
    </w:p>
    <w:p>
      <w:pPr>
        <w:ind w:left="480" w:hanging="480"/>
        <w:spacing w:after="80" w:line="276" w:lineRule="auto"/>
        <w:jc w:val="left"/>
      </w:pPr>
      <w:r>
        <w:rPr>
          <w:sz w:val="22"/>
          <w:szCs w:val="22"/>
        </w:rPr>
        <w:t xml:space="preserve">Brunsson, N. (1989). The organization of hypocrisy: Talk, decisions and actions in organizations. Wiley.</w:t>
      </w:r>
    </w:p>
    <w:p>
      <w:pPr>
        <w:ind w:left="480" w:hanging="480"/>
        <w:spacing w:after="80" w:line="276" w:lineRule="auto"/>
        <w:jc w:val="left"/>
      </w:pPr>
      <w:r>
        <w:rPr>
          <w:sz w:val="22"/>
          <w:szCs w:val="22"/>
        </w:rPr>
        <w:t xml:space="preserve">Callaway, B., &amp; Sant’Anna, P. H. C. (2021). Difference-in-differences with multiple time periods. Journal of Econometrics, 225(2), 200-230. </w:t>
      </w:r>
      <w:hyperlink r:id="rId118" w:history="1">
        <w:r>
          <w:rPr>
            <w:rStyle w:val="Hyperlink"/>
            <w:rFonts w:ascii="Times New Roman" w:hAnsi="Times New Roman"/>
            <w:color w:val="0563C1"/>
            <w:u w:val="single"/>
            <w:sz w:val="22"/>
            <w:szCs w:val="22"/>
          </w:rPr>
          <w:t xml:space="preserve">https://doi.org/10.1016/j.jeconom.2020.12.001</w:t>
        </w:r>
      </w:hyperlink>
    </w:p>
    <w:p>
      <w:pPr>
        <w:ind w:left="480" w:hanging="480"/>
        <w:spacing w:after="80" w:line="276" w:lineRule="auto"/>
        <w:jc w:val="left"/>
      </w:pPr>
      <w:r>
        <w:rPr>
          <w:sz w:val="22"/>
          <w:szCs w:val="22"/>
        </w:rPr>
        <w:t xml:space="preserve">Cepêda, C., Monteiro, A. P., &amp; Aibar-Guzmán, B. (2025). Bridging the ESG credibility gap: The role of institutional investors in mitigating ESG decoupling. Business Strategy and the Environment, 34(6), 7139-7160. </w:t>
      </w:r>
      <w:hyperlink r:id="rId119" w:history="1">
        <w:r>
          <w:rPr>
            <w:rStyle w:val="Hyperlink"/>
            <w:rFonts w:ascii="Times New Roman" w:hAnsi="Times New Roman"/>
            <w:color w:val="0563C1"/>
            <w:u w:val="single"/>
            <w:sz w:val="22"/>
            <w:szCs w:val="22"/>
          </w:rPr>
          <w:t xml:space="preserve">https://doi.org/10.1002/bse.4336</w:t>
        </w:r>
      </w:hyperlink>
    </w:p>
    <w:p>
      <w:pPr>
        <w:ind w:left="480" w:hanging="480"/>
        <w:spacing w:after="80" w:line="276" w:lineRule="auto"/>
        <w:jc w:val="left"/>
      </w:pPr>
      <w:r>
        <w:rPr>
          <w:sz w:val="22"/>
          <w:szCs w:val="22"/>
        </w:rPr>
        <w:t xml:space="preserve">Cho, C. H., &amp; Patten, D. M. (2007). The role of environmental disclosures as tools of legitimacy: A research note. Accounting, Organizations and Society, 32(7-8), 639-647. </w:t>
      </w:r>
      <w:hyperlink r:id="rId120" w:history="1">
        <w:r>
          <w:rPr>
            <w:rStyle w:val="Hyperlink"/>
            <w:rFonts w:ascii="Times New Roman" w:hAnsi="Times New Roman"/>
            <w:color w:val="0563C1"/>
            <w:u w:val="single"/>
            <w:sz w:val="22"/>
            <w:szCs w:val="22"/>
          </w:rPr>
          <w:t xml:space="preserve">https://doi.org/10.1016/j.aos.2006.09.009</w:t>
        </w:r>
      </w:hyperlink>
    </w:p>
    <w:p>
      <w:pPr>
        <w:ind w:left="480" w:hanging="480"/>
        <w:spacing w:after="80" w:line="276" w:lineRule="auto"/>
        <w:jc w:val="left"/>
      </w:pPr>
      <w:r>
        <w:rPr>
          <w:sz w:val="22"/>
          <w:szCs w:val="22"/>
        </w:rPr>
        <w:t xml:space="preserve">Cho, C. H., Laine, M., Roberts, R. W., &amp; Rodrigue, M. (2015). Organized hypocrisy, organizational façades, and sustainability reporting. Accounting, Organizations and Society, 40, 78-94. </w:t>
      </w:r>
      <w:hyperlink r:id="rId121" w:history="1">
        <w:r>
          <w:rPr>
            <w:rStyle w:val="Hyperlink"/>
            <w:rFonts w:ascii="Times New Roman" w:hAnsi="Times New Roman"/>
            <w:color w:val="0563C1"/>
            <w:u w:val="single"/>
            <w:sz w:val="22"/>
            <w:szCs w:val="22"/>
          </w:rPr>
          <w:t xml:space="preserve">https://doi.org/10.1016/j.aos.2014.12.003</w:t>
        </w:r>
      </w:hyperlink>
    </w:p>
    <w:p>
      <w:pPr>
        <w:ind w:left="480" w:hanging="480"/>
        <w:spacing w:after="80" w:line="276" w:lineRule="auto"/>
        <w:jc w:val="left"/>
      </w:pPr>
      <w:r>
        <w:rPr>
          <w:sz w:val="22"/>
          <w:szCs w:val="22"/>
        </w:rPr>
        <w:t xml:space="preserve">Cho, C. H., Roberts, R. W., &amp; Patten, D. M. (2010). The language of US corporate environmental disclosure. Accounting, Organizations and Society, 35(4), 431-443. </w:t>
      </w:r>
      <w:hyperlink r:id="rId122" w:history="1">
        <w:r>
          <w:rPr>
            <w:rStyle w:val="Hyperlink"/>
            <w:rFonts w:ascii="Times New Roman" w:hAnsi="Times New Roman"/>
            <w:color w:val="0563C1"/>
            <w:u w:val="single"/>
            <w:sz w:val="22"/>
            <w:szCs w:val="22"/>
          </w:rPr>
          <w:t xml:space="preserve">https://doi.org/10.1016/j.aos.2009.10.002</w:t>
        </w:r>
      </w:hyperlink>
    </w:p>
    <w:p>
      <w:pPr>
        <w:ind w:left="480" w:hanging="480"/>
        <w:spacing w:after="80" w:line="276" w:lineRule="auto"/>
        <w:jc w:val="left"/>
      </w:pPr>
      <w:r>
        <w:rPr>
          <w:sz w:val="22"/>
          <w:szCs w:val="22"/>
        </w:rPr>
        <w:t xml:space="preserve">Christensen, H. B., Hail, L., &amp; Leuz, C. (2021). Mandatory CSR and sustainability reporting: Economic analysis and literature review. Review of Accounting Studies, 26, 1176-1248. </w:t>
      </w:r>
      <w:hyperlink r:id="rId123" w:history="1">
        <w:r>
          <w:rPr>
            <w:rStyle w:val="Hyperlink"/>
            <w:rFonts w:ascii="Times New Roman" w:hAnsi="Times New Roman"/>
            <w:color w:val="0563C1"/>
            <w:u w:val="single"/>
            <w:sz w:val="22"/>
            <w:szCs w:val="22"/>
          </w:rPr>
          <w:t xml:space="preserve">https://doi.org/10.1007/s11142-021-09609-5</w:t>
        </w:r>
      </w:hyperlink>
    </w:p>
    <w:p>
      <w:pPr>
        <w:ind w:left="480" w:hanging="480"/>
        <w:spacing w:after="80" w:line="276" w:lineRule="auto"/>
        <w:jc w:val="left"/>
      </w:pPr>
      <w:r>
        <w:rPr>
          <w:sz w:val="22"/>
          <w:szCs w:val="22"/>
        </w:rPr>
        <w:t xml:space="preserve">Clarkson, P. M., Li, Y., Richardson, G. D., &amp; Vasvari, F. P. (2008). Revisiting the relation between environmental performance and environmental disclosure: An empirical analysis. Accounting, Organizations and Society, 33(4-5), 303-327. </w:t>
      </w:r>
      <w:hyperlink r:id="rId124" w:history="1">
        <w:r>
          <w:rPr>
            <w:rStyle w:val="Hyperlink"/>
            <w:rFonts w:ascii="Times New Roman" w:hAnsi="Times New Roman"/>
            <w:color w:val="0563C1"/>
            <w:u w:val="single"/>
            <w:sz w:val="22"/>
            <w:szCs w:val="22"/>
          </w:rPr>
          <w:t xml:space="preserve">https://doi.org/10.1016/j.aos.2007.05.003</w:t>
        </w:r>
      </w:hyperlink>
    </w:p>
    <w:p>
      <w:pPr>
        <w:ind w:left="480" w:hanging="480"/>
        <w:spacing w:after="80" w:line="276" w:lineRule="auto"/>
        <w:jc w:val="left"/>
      </w:pPr>
      <w:r>
        <w:rPr>
          <w:sz w:val="22"/>
          <w:szCs w:val="22"/>
        </w:rPr>
        <w:t xml:space="preserve">Clementino, E., &amp; Perkins, R. (2021). How do companies respond to environmental, social and governance (ESG) ratings? Evidence from Italy. Journal of Business Ethics, 171(2), 379-397. </w:t>
      </w:r>
      <w:hyperlink r:id="rId125" w:history="1">
        <w:r>
          <w:rPr>
            <w:rStyle w:val="Hyperlink"/>
            <w:rFonts w:ascii="Times New Roman" w:hAnsi="Times New Roman"/>
            <w:color w:val="0563C1"/>
            <w:u w:val="single"/>
            <w:sz w:val="22"/>
            <w:szCs w:val="22"/>
          </w:rPr>
          <w:t xml:space="preserve">https://doi.org/10.1007/s10551-020-04441-4</w:t>
        </w:r>
      </w:hyperlink>
    </w:p>
    <w:p>
      <w:pPr>
        <w:ind w:left="480" w:hanging="480"/>
        <w:spacing w:after="80" w:line="276" w:lineRule="auto"/>
        <w:jc w:val="left"/>
      </w:pPr>
      <w:r>
        <w:rPr>
          <w:sz w:val="22"/>
          <w:szCs w:val="22"/>
        </w:rPr>
        <w:t xml:space="preserve">Cohen, L., Gurun, U. G., &amp; Nguyen, Q. H. (2020). The ESG-innovation disconnect: Evidence from green patenting. National Bureau of Economic Research working paper 27990. </w:t>
      </w:r>
      <w:hyperlink r:id="rId126" w:history="1">
        <w:r>
          <w:rPr>
            <w:rStyle w:val="Hyperlink"/>
            <w:rFonts w:ascii="Times New Roman" w:hAnsi="Times New Roman"/>
            <w:color w:val="0563C1"/>
            <w:u w:val="single"/>
            <w:sz w:val="22"/>
            <w:szCs w:val="22"/>
          </w:rPr>
          <w:t xml:space="preserve">https://doi.org/10.1287/mnsc.2024.09124</w:t>
        </w:r>
      </w:hyperlink>
    </w:p>
    <w:p>
      <w:pPr>
        <w:ind w:left="480" w:hanging="480"/>
        <w:spacing w:after="80" w:line="276" w:lineRule="auto"/>
        <w:jc w:val="left"/>
      </w:pPr>
      <w:r>
        <w:rPr>
          <w:sz w:val="22"/>
          <w:szCs w:val="22"/>
        </w:rPr>
        <w:t xml:space="preserve">Cohen, M. A., &amp; Tubb, A. (2018). The impact of environmental regulation on firm and country competitiveness: A meta-analysis of the Porter hypothesis. Journal of the Association of Environmental and Resource Economists, 5(2), 371-399. </w:t>
      </w:r>
      <w:hyperlink r:id="rId127" w:history="1">
        <w:r>
          <w:rPr>
            <w:rStyle w:val="Hyperlink"/>
            <w:rFonts w:ascii="Times New Roman" w:hAnsi="Times New Roman"/>
            <w:color w:val="0563C1"/>
            <w:u w:val="single"/>
            <w:sz w:val="22"/>
            <w:szCs w:val="22"/>
          </w:rPr>
          <w:t xml:space="preserve">https://doi.org/10.1086/695613</w:t>
        </w:r>
      </w:hyperlink>
    </w:p>
    <w:p>
      <w:pPr>
        <w:ind w:left="480" w:hanging="480"/>
        <w:spacing w:after="80" w:line="276" w:lineRule="auto"/>
        <w:jc w:val="left"/>
      </w:pPr>
      <w:r>
        <w:rPr>
          <w:sz w:val="22"/>
          <w:szCs w:val="22"/>
        </w:rPr>
        <w:t xml:space="preserve">Conzo, P., Taylor, K., Castriota, S., &amp; Gualtieri, G. (2020). Civil and common law, environmental performance, and corporate social responsibility. Sustainability, 12(7), 2717.</w:t>
      </w:r>
    </w:p>
    <w:p>
      <w:pPr>
        <w:ind w:left="480" w:hanging="480"/>
        <w:spacing w:after="80" w:line="276" w:lineRule="auto"/>
        <w:jc w:val="left"/>
      </w:pPr>
      <w:r>
        <w:rPr>
          <w:sz w:val="22"/>
          <w:szCs w:val="22"/>
        </w:rPr>
        <w:t xml:space="preserve">Cormier, D., &amp; Gordon, I. M. (2001). An examination of social and environmental reporting strategies. Accounting, Auditing &amp; Accountability Journal, 14(5), 587-617. </w:t>
      </w:r>
      <w:hyperlink r:id="rId128" w:history="1">
        <w:r>
          <w:rPr>
            <w:rStyle w:val="Hyperlink"/>
            <w:rFonts w:ascii="Times New Roman" w:hAnsi="Times New Roman"/>
            <w:color w:val="0563C1"/>
            <w:u w:val="single"/>
            <w:sz w:val="22"/>
            <w:szCs w:val="22"/>
          </w:rPr>
          <w:t xml:space="preserve">https://doi.org/10.1108/EUM0000000006264</w:t>
        </w:r>
      </w:hyperlink>
    </w:p>
    <w:p>
      <w:pPr>
        <w:ind w:left="480" w:hanging="480"/>
        <w:spacing w:after="80" w:line="276" w:lineRule="auto"/>
        <w:jc w:val="left"/>
      </w:pPr>
      <w:r>
        <w:rPr>
          <w:sz w:val="22"/>
          <w:szCs w:val="22"/>
        </w:rPr>
        <w:t xml:space="preserve">Deegan, C. (2002). Introducing the legitimising effect of social and environmental disclosures: A theoretical foundation. Accounting, Auditing &amp; Accountability Journal, 15(3), 282-311. </w:t>
      </w:r>
      <w:hyperlink r:id="rId129" w:history="1">
        <w:r>
          <w:rPr>
            <w:rStyle w:val="Hyperlink"/>
            <w:rFonts w:ascii="Times New Roman" w:hAnsi="Times New Roman"/>
            <w:color w:val="0563C1"/>
            <w:u w:val="single"/>
            <w:sz w:val="22"/>
            <w:szCs w:val="22"/>
          </w:rPr>
          <w:t xml:space="preserve">https://doi.org/10.1108/09513570210435852</w:t>
        </w:r>
      </w:hyperlink>
    </w:p>
    <w:p>
      <w:pPr>
        <w:ind w:left="480" w:hanging="480"/>
        <w:spacing w:after="80" w:line="276" w:lineRule="auto"/>
        <w:jc w:val="left"/>
      </w:pPr>
      <w:r>
        <w:rPr>
          <w:sz w:val="22"/>
          <w:szCs w:val="22"/>
        </w:rPr>
        <w:t xml:space="preserve">Delmas, M. A., &amp; Burbano, V. C. (2011). The drivers of greenwashing. California Management Review, 54(1), 64-87. </w:t>
      </w:r>
      <w:hyperlink r:id="rId130" w:history="1">
        <w:r>
          <w:rPr>
            <w:rStyle w:val="Hyperlink"/>
            <w:rFonts w:ascii="Times New Roman" w:hAnsi="Times New Roman"/>
            <w:color w:val="0563C1"/>
            <w:u w:val="single"/>
            <w:sz w:val="22"/>
            <w:szCs w:val="22"/>
          </w:rPr>
          <w:t xml:space="preserve">https://doi.org/10.1525/cmr.2011.54.1.64</w:t>
        </w:r>
      </w:hyperlink>
    </w:p>
    <w:p>
      <w:pPr>
        <w:ind w:left="480" w:hanging="480"/>
        <w:spacing w:after="80" w:line="276" w:lineRule="auto"/>
        <w:jc w:val="left"/>
      </w:pPr>
      <w:r>
        <w:rPr>
          <w:sz w:val="22"/>
          <w:szCs w:val="22"/>
        </w:rPr>
        <w:t xml:space="preserve">Dhaliwal, D. S., Li, O. Z., Tsang, A., &amp; Yang, Y. G. (2011). Voluntary nonfinancial disclosure and the cost of equity capital: The initiation of corporate social responsibility reporting. The Accounting Review, 86(1), 59-100. </w:t>
      </w:r>
      <w:hyperlink r:id="rId131" w:history="1">
        <w:r>
          <w:rPr>
            <w:rStyle w:val="Hyperlink"/>
            <w:rFonts w:ascii="Times New Roman" w:hAnsi="Times New Roman"/>
            <w:color w:val="0563C1"/>
            <w:u w:val="single"/>
            <w:sz w:val="22"/>
            <w:szCs w:val="22"/>
          </w:rPr>
          <w:t xml:space="preserve">https://doi.org/10.2308/accr.00000005</w:t>
        </w:r>
      </w:hyperlink>
    </w:p>
    <w:p>
      <w:pPr>
        <w:ind w:left="480" w:hanging="480"/>
        <w:spacing w:after="80" w:line="276" w:lineRule="auto"/>
        <w:jc w:val="left"/>
      </w:pPr>
      <w:r>
        <w:rPr>
          <w:sz w:val="22"/>
          <w:szCs w:val="22"/>
        </w:rPr>
        <w:t xml:space="preserve">DiMaggio, P. J., &amp; Powell, W. W. (1983). The iron cage revisited: Institutional isomorphism and collective rationality in organizational fields. American Sociological Review, 48(2), 147-160. </w:t>
      </w:r>
      <w:hyperlink r:id="rId132" w:history="1">
        <w:r>
          <w:rPr>
            <w:rStyle w:val="Hyperlink"/>
            <w:rFonts w:ascii="Times New Roman" w:hAnsi="Times New Roman"/>
            <w:color w:val="0563C1"/>
            <w:u w:val="single"/>
            <w:sz w:val="22"/>
            <w:szCs w:val="22"/>
          </w:rPr>
          <w:t xml:space="preserve">https://doi.org/10.2307/2095101</w:t>
        </w:r>
      </w:hyperlink>
    </w:p>
    <w:p>
      <w:pPr>
        <w:ind w:left="480" w:hanging="480"/>
        <w:spacing w:after="80" w:line="276" w:lineRule="auto"/>
        <w:jc w:val="left"/>
      </w:pPr>
      <w:r>
        <w:rPr>
          <w:sz w:val="22"/>
          <w:szCs w:val="22"/>
        </w:rPr>
        <w:t xml:space="preserve">El Kalak, I., Goergen, M., &amp; Guney, Y. (2026). Legal heritage and corporate social responsibility. British Journal of Management. Advance online publication. </w:t>
      </w:r>
      <w:hyperlink r:id="rId133" w:history="1">
        <w:r>
          <w:rPr>
            <w:rStyle w:val="Hyperlink"/>
            <w:rFonts w:ascii="Times New Roman" w:hAnsi="Times New Roman"/>
            <w:color w:val="0563C1"/>
            <w:u w:val="single"/>
            <w:sz w:val="22"/>
            <w:szCs w:val="22"/>
          </w:rPr>
          <w:t xml:space="preserve">https://doi.org/10.1111/1467-8551.70068</w:t>
        </w:r>
      </w:hyperlink>
    </w:p>
    <w:p>
      <w:pPr>
        <w:ind w:left="480" w:hanging="480"/>
        <w:spacing w:after="80" w:line="276" w:lineRule="auto"/>
        <w:jc w:val="left"/>
      </w:pPr>
      <w:r>
        <w:rPr>
          <w:sz w:val="22"/>
          <w:szCs w:val="22"/>
        </w:rPr>
        <w:t xml:space="preserve">Eliwa, Y., Aboud, A., &amp; Saleh, A. (2023). Board gender diversity and ESG decoupling: Does religiosity matter? Business Strategy and the Environment, 32(7), 4046-4067. </w:t>
      </w:r>
      <w:hyperlink r:id="rId134" w:history="1">
        <w:r>
          <w:rPr>
            <w:rStyle w:val="Hyperlink"/>
            <w:rFonts w:ascii="Times New Roman" w:hAnsi="Times New Roman"/>
            <w:color w:val="0563C1"/>
            <w:u w:val="single"/>
            <w:sz w:val="22"/>
            <w:szCs w:val="22"/>
          </w:rPr>
          <w:t xml:space="preserve">https://doi.org/10.1002/bse.3353</w:t>
        </w:r>
      </w:hyperlink>
    </w:p>
    <w:p>
      <w:pPr>
        <w:ind w:left="480" w:hanging="480"/>
        <w:spacing w:after="80" w:line="276" w:lineRule="auto"/>
        <w:jc w:val="left"/>
      </w:pPr>
      <w:r>
        <w:rPr>
          <w:sz w:val="22"/>
          <w:szCs w:val="22"/>
        </w:rPr>
        <w:t xml:space="preserve">Fan, X., Shen, X., Wang, D., &amp; Zhou, C. (2025). The Paris Agreement and firms’ carbon information disclosure: Honesty or catering? International Review of Economics &amp; Finance, 99, 103884. </w:t>
      </w:r>
      <w:hyperlink r:id="rId135" w:history="1">
        <w:r>
          <w:rPr>
            <w:rStyle w:val="Hyperlink"/>
            <w:rFonts w:ascii="Times New Roman" w:hAnsi="Times New Roman"/>
            <w:color w:val="0563C1"/>
            <w:u w:val="single"/>
            <w:sz w:val="22"/>
            <w:szCs w:val="22"/>
          </w:rPr>
          <w:t xml:space="preserve">https://doi.org/10.1016/j.iref.2025.103988</w:t>
        </w:r>
      </w:hyperlink>
    </w:p>
    <w:p>
      <w:pPr>
        <w:ind w:left="480" w:hanging="480"/>
        <w:spacing w:after="80" w:line="276" w:lineRule="auto"/>
        <w:jc w:val="left"/>
      </w:pPr>
      <w:r>
        <w:rPr>
          <w:sz w:val="22"/>
          <w:szCs w:val="22"/>
        </w:rPr>
        <w:t xml:space="preserve">Flammer, C. (2013). Corporate social responsibility and shareholder reaction: The environmental awareness of investors. Academy of Management Journal, 56(3), 758-781. </w:t>
      </w:r>
      <w:hyperlink r:id="rId136" w:history="1">
        <w:r>
          <w:rPr>
            <w:rStyle w:val="Hyperlink"/>
            <w:rFonts w:ascii="Times New Roman" w:hAnsi="Times New Roman"/>
            <w:color w:val="0563C1"/>
            <w:u w:val="single"/>
            <w:sz w:val="22"/>
            <w:szCs w:val="22"/>
          </w:rPr>
          <w:t xml:space="preserve">https://doi.org/10.5465/amj.2011.0744</w:t>
        </w:r>
      </w:hyperlink>
    </w:p>
    <w:p>
      <w:pPr>
        <w:ind w:left="480" w:hanging="480"/>
        <w:spacing w:after="80" w:line="276" w:lineRule="auto"/>
        <w:jc w:val="left"/>
      </w:pPr>
      <w:r>
        <w:rPr>
          <w:sz w:val="22"/>
          <w:szCs w:val="22"/>
        </w:rPr>
        <w:t xml:space="preserve">Flammer, C. (2021). Corporate green bonds. Journal of Financial Economics, 142(2), 499-516. </w:t>
      </w:r>
      <w:hyperlink r:id="rId137" w:history="1">
        <w:r>
          <w:rPr>
            <w:rStyle w:val="Hyperlink"/>
            <w:rFonts w:ascii="Times New Roman" w:hAnsi="Times New Roman"/>
            <w:color w:val="0563C1"/>
            <w:u w:val="single"/>
            <w:sz w:val="22"/>
            <w:szCs w:val="22"/>
          </w:rPr>
          <w:t xml:space="preserve">https://doi.org/10.1016/j.jfineco.2021.01.010</w:t>
        </w:r>
      </w:hyperlink>
    </w:p>
    <w:p>
      <w:pPr>
        <w:ind w:left="480" w:hanging="480"/>
        <w:spacing w:after="80" w:line="276" w:lineRule="auto"/>
        <w:jc w:val="left"/>
      </w:pPr>
      <w:r>
        <w:rPr>
          <w:sz w:val="22"/>
          <w:szCs w:val="22"/>
        </w:rPr>
        <w:t xml:space="preserve">Gibson Brandon, R., Krueger, P., &amp; Schmidt, P. S. (2021). ESG rating disagreement and stock returns. Financial Analysts Journal, 77(4), 104-127. </w:t>
      </w:r>
      <w:hyperlink r:id="rId138" w:history="1">
        <w:r>
          <w:rPr>
            <w:rStyle w:val="Hyperlink"/>
            <w:rFonts w:ascii="Times New Roman" w:hAnsi="Times New Roman"/>
            <w:color w:val="0563C1"/>
            <w:u w:val="single"/>
            <w:sz w:val="22"/>
            <w:szCs w:val="22"/>
          </w:rPr>
          <w:t xml:space="preserve">https://doi.org/10.1080/0015198X.2021.1963186</w:t>
        </w:r>
      </w:hyperlink>
    </w:p>
    <w:p>
      <w:pPr>
        <w:ind w:left="480" w:hanging="480"/>
        <w:spacing w:after="80" w:line="276" w:lineRule="auto"/>
        <w:jc w:val="left"/>
      </w:pPr>
      <w:r>
        <w:rPr>
          <w:sz w:val="22"/>
          <w:szCs w:val="22"/>
        </w:rPr>
        <w:t xml:space="preserve">Hahn, R., &amp; Lülfs, R. (2014). Legitimizing negative aspects in GRI-oriented sustainability reporting: A qualitative analysis of corporate disclosure strategies. Journal of Business Ethics, 123(3), 401-420. </w:t>
      </w:r>
      <w:hyperlink r:id="rId139" w:history="1">
        <w:r>
          <w:rPr>
            <w:rStyle w:val="Hyperlink"/>
            <w:rFonts w:ascii="Times New Roman" w:hAnsi="Times New Roman"/>
            <w:color w:val="0563C1"/>
            <w:u w:val="single"/>
            <w:sz w:val="22"/>
            <w:szCs w:val="22"/>
          </w:rPr>
          <w:t xml:space="preserve">https://doi.org/10.1007/s10551-013-1801-4</w:t>
        </w:r>
      </w:hyperlink>
    </w:p>
    <w:p>
      <w:pPr>
        <w:ind w:left="480" w:hanging="480"/>
        <w:spacing w:after="80" w:line="276" w:lineRule="auto"/>
        <w:jc w:val="left"/>
      </w:pPr>
      <w:r>
        <w:rPr>
          <w:sz w:val="22"/>
          <w:szCs w:val="22"/>
        </w:rPr>
        <w:t xml:space="preserve">Harvard International Law Journal. (2024). Climate change and stakeholder enforcement of international law against corporations. Harvard International Law Journal. [authors to be completed]</w:t>
      </w:r>
    </w:p>
    <w:p>
      <w:pPr>
        <w:ind w:left="480" w:hanging="480"/>
        <w:spacing w:after="80" w:line="276" w:lineRule="auto"/>
        <w:jc w:val="left"/>
      </w:pPr>
      <w:r>
        <w:rPr>
          <w:sz w:val="22"/>
          <w:szCs w:val="22"/>
        </w:rPr>
        <w:t xml:space="preserve">Hawn, O., &amp; Ioannou, I. (2016). Mind the gap: The interplay between external and internal actions in the case of corporate social responsibility. Strategic Management Journal, 37(13), 2569-2588. </w:t>
      </w:r>
      <w:hyperlink r:id="rId140" w:history="1">
        <w:r>
          <w:rPr>
            <w:rStyle w:val="Hyperlink"/>
            <w:rFonts w:ascii="Times New Roman" w:hAnsi="Times New Roman"/>
            <w:color w:val="0563C1"/>
            <w:u w:val="single"/>
            <w:sz w:val="22"/>
            <w:szCs w:val="22"/>
          </w:rPr>
          <w:t xml:space="preserve">https://doi.org/10.1002/smj.2464</w:t>
        </w:r>
      </w:hyperlink>
    </w:p>
    <w:p>
      <w:pPr>
        <w:ind w:left="480" w:hanging="480"/>
        <w:spacing w:after="80" w:line="276" w:lineRule="auto"/>
        <w:jc w:val="left"/>
      </w:pPr>
      <w:r>
        <w:rPr>
          <w:sz w:val="22"/>
          <w:szCs w:val="22"/>
        </w:rPr>
        <w:t xml:space="preserve">Hummel, K., &amp; Schlick, C. (2016). The relationship between sustainability performance and sustainability disclosure: Reconciling voluntary disclosure theory and legitimacy theory. Journal of Accounting and Public Policy, 35(5), 455-476. </w:t>
      </w:r>
      <w:hyperlink r:id="rId141" w:history="1">
        <w:r>
          <w:rPr>
            <w:rStyle w:val="Hyperlink"/>
            <w:rFonts w:ascii="Times New Roman" w:hAnsi="Times New Roman"/>
            <w:color w:val="0563C1"/>
            <w:u w:val="single"/>
            <w:sz w:val="22"/>
            <w:szCs w:val="22"/>
          </w:rPr>
          <w:t xml:space="preserve">https://doi.org/10.1016/j.jaccpubpol.2016.06.001</w:t>
        </w:r>
      </w:hyperlink>
    </w:p>
    <w:p>
      <w:pPr>
        <w:ind w:left="480" w:hanging="480"/>
        <w:spacing w:after="80" w:line="276" w:lineRule="auto"/>
        <w:jc w:val="left"/>
      </w:pPr>
      <w:r>
        <w:rPr>
          <w:sz w:val="22"/>
          <w:szCs w:val="22"/>
        </w:rPr>
        <w:t xml:space="preserve">Jaffe, A. B., &amp; Palmer, K. (1997). Environmental regulation and innovation: A panel data study. Review of Economics and Statistics, 79(4), 610-619. </w:t>
      </w:r>
      <w:hyperlink r:id="rId142" w:history="1">
        <w:r>
          <w:rPr>
            <w:rStyle w:val="Hyperlink"/>
            <w:rFonts w:ascii="Times New Roman" w:hAnsi="Times New Roman"/>
            <w:color w:val="0563C1"/>
            <w:u w:val="single"/>
            <w:sz w:val="22"/>
            <w:szCs w:val="22"/>
          </w:rPr>
          <w:t xml:space="preserve">https://doi.org/10.1162/003465397557196</w:t>
        </w:r>
      </w:hyperlink>
    </w:p>
    <w:p>
      <w:pPr>
        <w:ind w:left="480" w:hanging="480"/>
        <w:spacing w:after="80" w:line="276" w:lineRule="auto"/>
        <w:jc w:val="left"/>
      </w:pPr>
      <w:r>
        <w:rPr>
          <w:sz w:val="22"/>
          <w:szCs w:val="22"/>
        </w:rPr>
        <w:t xml:space="preserve">Kaufmann, D., Kraay, A., &amp; Mastruzzi, M. (2011). The Worldwide Governance Indicators: Methodology and analytical issues. Hague Journal on the Rule of Law, 3(2), 220-246. </w:t>
      </w:r>
      <w:hyperlink r:id="rId143" w:history="1">
        <w:r>
          <w:rPr>
            <w:rStyle w:val="Hyperlink"/>
            <w:rFonts w:ascii="Times New Roman" w:hAnsi="Times New Roman"/>
            <w:color w:val="0563C1"/>
            <w:u w:val="single"/>
            <w:sz w:val="22"/>
            <w:szCs w:val="22"/>
          </w:rPr>
          <w:t xml:space="preserve">https://doi.org/10.1017/S1876404511200046</w:t>
        </w:r>
      </w:hyperlink>
    </w:p>
    <w:p>
      <w:pPr>
        <w:ind w:left="480" w:hanging="480"/>
        <w:spacing w:after="80" w:line="276" w:lineRule="auto"/>
        <w:jc w:val="left"/>
      </w:pPr>
      <w:r>
        <w:rPr>
          <w:sz w:val="22"/>
          <w:szCs w:val="22"/>
        </w:rPr>
        <w:t xml:space="preserve">Kercher, K., Duncan, K., Moore, G., &amp; Southam, C. (2026). Global state of play for extended sustainability disclosures, performance, and assurance: Insights from cross-country benchmarking. Accounting &amp; Finance, 66, 824-848. </w:t>
      </w:r>
      <w:hyperlink r:id="rId144" w:history="1">
        <w:r>
          <w:rPr>
            <w:rStyle w:val="Hyperlink"/>
            <w:rFonts w:ascii="Times New Roman" w:hAnsi="Times New Roman"/>
            <w:color w:val="0563C1"/>
            <w:u w:val="single"/>
            <w:sz w:val="22"/>
            <w:szCs w:val="22"/>
          </w:rPr>
          <w:t xml:space="preserve">https://doi.org/10.1111/acfi.70185</w:t>
        </w:r>
      </w:hyperlink>
    </w:p>
    <w:p>
      <w:pPr>
        <w:ind w:left="480" w:hanging="480"/>
        <w:spacing w:after="80" w:line="276" w:lineRule="auto"/>
        <w:jc w:val="left"/>
      </w:pPr>
      <w:r>
        <w:rPr>
          <w:sz w:val="22"/>
          <w:szCs w:val="22"/>
        </w:rPr>
        <w:t xml:space="preserve">Keresztúri, J. L., Berlinger, E., &amp; Lublóy, Á. (2025). Environmental policy and stakeholder engagement: Incident-based, cross-country analysis of firm-level greenwashing practices. Corporate Social Responsibility and Environmental Management, 32(1), 192-211. </w:t>
      </w:r>
      <w:hyperlink r:id="rId145" w:history="1">
        <w:r>
          <w:rPr>
            <w:rStyle w:val="Hyperlink"/>
            <w:rFonts w:ascii="Times New Roman" w:hAnsi="Times New Roman"/>
            <w:color w:val="0563C1"/>
            <w:u w:val="single"/>
            <w:sz w:val="22"/>
            <w:szCs w:val="22"/>
          </w:rPr>
          <w:t xml:space="preserve">https://doi.org/10.1002/csr.2945</w:t>
        </w:r>
      </w:hyperlink>
    </w:p>
    <w:p>
      <w:pPr>
        <w:ind w:left="480" w:hanging="480"/>
        <w:spacing w:after="80" w:line="276" w:lineRule="auto"/>
        <w:jc w:val="left"/>
      </w:pPr>
      <w:r>
        <w:rPr>
          <w:sz w:val="22"/>
          <w:szCs w:val="22"/>
        </w:rPr>
        <w:t xml:space="preserve">Kim, E. H., &amp; Lyon, T. P. (2015). Greenwash vs. brownwash: Exaggeration and undue modesty in corporate sustainability disclosure. Organization Science, 26(3), 705-723. </w:t>
      </w:r>
      <w:hyperlink r:id="rId146" w:history="1">
        <w:r>
          <w:rPr>
            <w:rStyle w:val="Hyperlink"/>
            <w:rFonts w:ascii="Times New Roman" w:hAnsi="Times New Roman"/>
            <w:color w:val="0563C1"/>
            <w:u w:val="single"/>
            <w:sz w:val="22"/>
            <w:szCs w:val="22"/>
          </w:rPr>
          <w:t xml:space="preserve">https://doi.org/10.1287/orsc.2014.0949</w:t>
        </w:r>
      </w:hyperlink>
    </w:p>
    <w:p>
      <w:pPr>
        <w:ind w:left="480" w:hanging="480"/>
        <w:spacing w:after="80" w:line="276" w:lineRule="auto"/>
        <w:jc w:val="left"/>
      </w:pPr>
      <w:r>
        <w:rPr>
          <w:sz w:val="22"/>
          <w:szCs w:val="22"/>
        </w:rPr>
        <w:t xml:space="preserve">Krueger, P., Sautner, Z., &amp; Starks, L. T. (2020). The importance of climate risks for institutional investors. Review of Financial Studies, 33(3), 1067-1111. </w:t>
      </w:r>
      <w:hyperlink r:id="rId147" w:history="1">
        <w:r>
          <w:rPr>
            <w:rStyle w:val="Hyperlink"/>
            <w:rFonts w:ascii="Times New Roman" w:hAnsi="Times New Roman"/>
            <w:color w:val="0563C1"/>
            <w:u w:val="single"/>
            <w:sz w:val="22"/>
            <w:szCs w:val="22"/>
          </w:rPr>
          <w:t xml:space="preserve">https://doi.org/10.1093/rfs/hhz137</w:t>
        </w:r>
      </w:hyperlink>
    </w:p>
    <w:p>
      <w:pPr>
        <w:ind w:left="480" w:hanging="480"/>
        <w:spacing w:after="80" w:line="276" w:lineRule="auto"/>
        <w:jc w:val="left"/>
      </w:pPr>
      <w:r>
        <w:rPr>
          <w:sz w:val="22"/>
          <w:szCs w:val="22"/>
        </w:rPr>
        <w:t xml:space="preserve">La Porta, R., Lopez-de-Silanes, F., &amp; Shleifer, A. (2008). The economic consequences of legal origins. Journal of Economic Literature, 46(2), 285-332. </w:t>
      </w:r>
      <w:hyperlink r:id="rId148" w:history="1">
        <w:r>
          <w:rPr>
            <w:rStyle w:val="Hyperlink"/>
            <w:rFonts w:ascii="Times New Roman" w:hAnsi="Times New Roman"/>
            <w:color w:val="0563C1"/>
            <w:u w:val="single"/>
            <w:sz w:val="22"/>
            <w:szCs w:val="22"/>
          </w:rPr>
          <w:t xml:space="preserve">https://doi.org/10.1257/jel.46.2.285</w:t>
        </w:r>
      </w:hyperlink>
    </w:p>
    <w:p>
      <w:pPr>
        <w:ind w:left="480" w:hanging="480"/>
        <w:spacing w:after="80" w:line="276" w:lineRule="auto"/>
        <w:jc w:val="left"/>
      </w:pPr>
      <w:r>
        <w:rPr>
          <w:sz w:val="22"/>
          <w:szCs w:val="22"/>
        </w:rPr>
        <w:t xml:space="preserve">Liang, H., &amp; Renneboog, L. (2017). On the foundations of corporate social responsibility. Journal of Finance, 72(2), 853-910. </w:t>
      </w:r>
      <w:hyperlink r:id="rId149" w:history="1">
        <w:r>
          <w:rPr>
            <w:rStyle w:val="Hyperlink"/>
            <w:rFonts w:ascii="Times New Roman" w:hAnsi="Times New Roman"/>
            <w:color w:val="0563C1"/>
            <w:u w:val="single"/>
            <w:sz w:val="22"/>
            <w:szCs w:val="22"/>
          </w:rPr>
          <w:t xml:space="preserve">https://doi.org/10.1111/jofi.12487</w:t>
        </w:r>
      </w:hyperlink>
    </w:p>
    <w:p>
      <w:pPr>
        <w:ind w:left="480" w:hanging="480"/>
        <w:spacing w:after="80" w:line="276" w:lineRule="auto"/>
        <w:jc w:val="left"/>
      </w:pPr>
      <w:r>
        <w:rPr>
          <w:sz w:val="22"/>
          <w:szCs w:val="22"/>
        </w:rPr>
        <w:t xml:space="preserve">Lu, J., &amp; Wang, J. (2021). Corporate governance, law, culture, environmental performance and CSR disclosure: A global perspective. Journal of International Financial Markets, Institutions and Money, 70, 101264. </w:t>
      </w:r>
      <w:hyperlink r:id="rId150" w:history="1">
        <w:r>
          <w:rPr>
            <w:rStyle w:val="Hyperlink"/>
            <w:rFonts w:ascii="Times New Roman" w:hAnsi="Times New Roman"/>
            <w:color w:val="0563C1"/>
            <w:u w:val="single"/>
            <w:sz w:val="22"/>
            <w:szCs w:val="22"/>
          </w:rPr>
          <w:t xml:space="preserve">https://doi.org/10.1016/j.intfin.2020.101264</w:t>
        </w:r>
      </w:hyperlink>
    </w:p>
    <w:p>
      <w:pPr>
        <w:ind w:left="480" w:hanging="480"/>
        <w:spacing w:after="80" w:line="276" w:lineRule="auto"/>
        <w:jc w:val="left"/>
      </w:pPr>
      <w:r>
        <w:rPr>
          <w:sz w:val="22"/>
          <w:szCs w:val="22"/>
        </w:rPr>
        <w:t xml:space="preserve">Lyon, T. P., &amp; Maxwell, J. W. (2011). Greenwash: Corporate environmental disclosure under threat of audit. Journal of Economics &amp; Management Strategy, 20(1), 3-41. </w:t>
      </w:r>
      <w:hyperlink r:id="rId151" w:history="1">
        <w:r>
          <w:rPr>
            <w:rStyle w:val="Hyperlink"/>
            <w:rFonts w:ascii="Times New Roman" w:hAnsi="Times New Roman"/>
            <w:color w:val="0563C1"/>
            <w:u w:val="single"/>
            <w:sz w:val="22"/>
            <w:szCs w:val="22"/>
          </w:rPr>
          <w:t xml:space="preserve">https://doi.org/10.1111/j.1530-9134.2010.00282.x</w:t>
        </w:r>
      </w:hyperlink>
    </w:p>
    <w:p>
      <w:pPr>
        <w:ind w:left="480" w:hanging="480"/>
        <w:spacing w:after="80" w:line="276" w:lineRule="auto"/>
        <w:jc w:val="left"/>
      </w:pPr>
      <w:r>
        <w:rPr>
          <w:sz w:val="22"/>
          <w:szCs w:val="22"/>
        </w:rPr>
        <w:t xml:space="preserve">Lyon, T. P., &amp; Montgomery, A. W. (2015). The means and end of greenwash. Organization &amp; Environment, 28(2), 223-249. </w:t>
      </w:r>
      <w:hyperlink r:id="rId152" w:history="1">
        <w:r>
          <w:rPr>
            <w:rStyle w:val="Hyperlink"/>
            <w:rFonts w:ascii="Times New Roman" w:hAnsi="Times New Roman"/>
            <w:color w:val="0563C1"/>
            <w:u w:val="single"/>
            <w:sz w:val="22"/>
            <w:szCs w:val="22"/>
          </w:rPr>
          <w:t xml:space="preserve">https://doi.org/10.1177/1086026615575332</w:t>
        </w:r>
      </w:hyperlink>
    </w:p>
    <w:p>
      <w:pPr>
        <w:ind w:left="480" w:hanging="480"/>
        <w:spacing w:after="80" w:line="276" w:lineRule="auto"/>
        <w:jc w:val="left"/>
      </w:pPr>
      <w:r>
        <w:rPr>
          <w:sz w:val="22"/>
          <w:szCs w:val="22"/>
        </w:rPr>
        <w:t xml:space="preserve">Makeeva, E., Popov, K., &amp; Teplova, O. (2024). Patenting for profitability: Green energy innovations and firm performance in BRICS countries. Frontiers in Environmental Science, 12, 1332792. </w:t>
      </w:r>
      <w:hyperlink r:id="rId153" w:history="1">
        <w:r>
          <w:rPr>
            <w:rStyle w:val="Hyperlink"/>
            <w:rFonts w:ascii="Times New Roman" w:hAnsi="Times New Roman"/>
            <w:color w:val="0563C1"/>
            <w:u w:val="single"/>
            <w:sz w:val="22"/>
            <w:szCs w:val="22"/>
          </w:rPr>
          <w:t xml:space="preserve">https://doi.org/10.3389/fenvs.2024.1332792</w:t>
        </w:r>
      </w:hyperlink>
    </w:p>
    <w:p>
      <w:pPr>
        <w:ind w:left="480" w:hanging="480"/>
        <w:spacing w:after="80" w:line="276" w:lineRule="auto"/>
        <w:jc w:val="left"/>
      </w:pPr>
      <w:r>
        <w:rPr>
          <w:sz w:val="22"/>
          <w:szCs w:val="22"/>
        </w:rPr>
        <w:t xml:space="preserve">Manes-Rossi, F., &amp; Nicolò, G. (2022). Exploring sustainable development goals reporting practices: From symbolic to substantive approaches: Evidence from the energy sector. Corporate Social Responsibility and Environmental Management, 29(5), 1799-1815. </w:t>
      </w:r>
      <w:hyperlink r:id="rId154" w:history="1">
        <w:r>
          <w:rPr>
            <w:rStyle w:val="Hyperlink"/>
            <w:rFonts w:ascii="Times New Roman" w:hAnsi="Times New Roman"/>
            <w:color w:val="0563C1"/>
            <w:u w:val="single"/>
            <w:sz w:val="22"/>
            <w:szCs w:val="22"/>
          </w:rPr>
          <w:t xml:space="preserve">https://doi.org/10.1002/csr.2328</w:t>
        </w:r>
      </w:hyperlink>
    </w:p>
    <w:p>
      <w:pPr>
        <w:ind w:left="480" w:hanging="480"/>
        <w:spacing w:after="80" w:line="276" w:lineRule="auto"/>
        <w:jc w:val="left"/>
      </w:pPr>
      <w:r>
        <w:rPr>
          <w:sz w:val="22"/>
          <w:szCs w:val="22"/>
        </w:rPr>
        <w:t xml:space="preserve">Manya, D., Campbell, M., &amp; Smith, R. (2026). Red flags in green promises: A framework for identifying greenwashing risk in corporate climate pledges. npj Climate Action, 5(1), 19. </w:t>
      </w:r>
      <w:hyperlink r:id="rId155" w:history="1">
        <w:r>
          <w:rPr>
            <w:rStyle w:val="Hyperlink"/>
            <w:rFonts w:ascii="Times New Roman" w:hAnsi="Times New Roman"/>
            <w:color w:val="0563C1"/>
            <w:u w:val="single"/>
            <w:sz w:val="22"/>
            <w:szCs w:val="22"/>
          </w:rPr>
          <w:t xml:space="preserve">https://doi.org/10.1038/s44168-026-00346-6</w:t>
        </w:r>
      </w:hyperlink>
    </w:p>
    <w:p>
      <w:pPr>
        <w:ind w:left="480" w:hanging="480"/>
        <w:spacing w:after="80" w:line="276" w:lineRule="auto"/>
        <w:jc w:val="left"/>
      </w:pPr>
      <w:r>
        <w:rPr>
          <w:sz w:val="22"/>
          <w:szCs w:val="22"/>
        </w:rPr>
        <w:t xml:space="preserve">Marquis, C., Toffel, M. W., &amp; Zhou, Y. (2016). Scrutiny, norms, and selective disclosure: A global study of greenwashing. Organization Science, 27(2), 483-504. </w:t>
      </w:r>
      <w:hyperlink r:id="rId156" w:history="1">
        <w:r>
          <w:rPr>
            <w:rStyle w:val="Hyperlink"/>
            <w:rFonts w:ascii="Times New Roman" w:hAnsi="Times New Roman"/>
            <w:color w:val="0563C1"/>
            <w:u w:val="single"/>
            <w:sz w:val="22"/>
            <w:szCs w:val="22"/>
          </w:rPr>
          <w:t xml:space="preserve">https://doi.org/10.1287/orsc.2015.1039</w:t>
        </w:r>
      </w:hyperlink>
    </w:p>
    <w:p>
      <w:pPr>
        <w:ind w:left="480" w:hanging="480"/>
        <w:spacing w:after="80" w:line="276" w:lineRule="auto"/>
        <w:jc w:val="left"/>
      </w:pPr>
      <w:r>
        <w:rPr>
          <w:sz w:val="22"/>
          <w:szCs w:val="22"/>
        </w:rPr>
        <w:t xml:space="preserve">Meyer, J. W., &amp; Rowan, B. (1977). Institutionalized organizations: Formal structure as myth and ceremony. American Journal of Sociology, 83(2), 340-363. </w:t>
      </w:r>
      <w:hyperlink r:id="rId157" w:history="1">
        <w:r>
          <w:rPr>
            <w:rStyle w:val="Hyperlink"/>
            <w:rFonts w:ascii="Times New Roman" w:hAnsi="Times New Roman"/>
            <w:color w:val="0563C1"/>
            <w:u w:val="single"/>
            <w:sz w:val="22"/>
            <w:szCs w:val="22"/>
          </w:rPr>
          <w:t xml:space="preserve">https://doi.org/10.1086/226550</w:t>
        </w:r>
      </w:hyperlink>
    </w:p>
    <w:p>
      <w:pPr>
        <w:ind w:left="480" w:hanging="480"/>
        <w:spacing w:after="80" w:line="276" w:lineRule="auto"/>
        <w:jc w:val="left"/>
      </w:pPr>
      <w:r>
        <w:rPr>
          <w:sz w:val="22"/>
          <w:szCs w:val="22"/>
        </w:rPr>
        <w:t xml:space="preserve">Min, B. S. (2016). Legal origins, corporate governance, and environmental outcomes. Journal of Business Ethics, 138(3), 507-524. </w:t>
      </w:r>
      <w:hyperlink r:id="rId158" w:history="1">
        <w:r>
          <w:rPr>
            <w:rStyle w:val="Hyperlink"/>
            <w:rFonts w:ascii="Times New Roman" w:hAnsi="Times New Roman"/>
            <w:color w:val="0563C1"/>
            <w:u w:val="single"/>
            <w:sz w:val="22"/>
            <w:szCs w:val="22"/>
          </w:rPr>
          <w:t xml:space="preserve">https://doi.org/10.1007/s10551-015-2617-1</w:t>
        </w:r>
      </w:hyperlink>
    </w:p>
    <w:p>
      <w:pPr>
        <w:ind w:left="480" w:hanging="480"/>
        <w:spacing w:after="80" w:line="276" w:lineRule="auto"/>
        <w:jc w:val="left"/>
      </w:pPr>
      <w:r>
        <w:rPr>
          <w:sz w:val="22"/>
          <w:szCs w:val="22"/>
        </w:rPr>
        <w:t xml:space="preserve">Oliver, C. (1991). Strategic responses to institutional processes. Academy of Management Review, 16(1), 145-179. </w:t>
      </w:r>
      <w:hyperlink r:id="rId159" w:history="1">
        <w:r>
          <w:rPr>
            <w:rStyle w:val="Hyperlink"/>
            <w:rFonts w:ascii="Times New Roman" w:hAnsi="Times New Roman"/>
            <w:color w:val="0563C1"/>
            <w:u w:val="single"/>
            <w:sz w:val="22"/>
            <w:szCs w:val="22"/>
          </w:rPr>
          <w:t xml:space="preserve">https://doi.org/10.5465/amr.1991.4279002</w:t>
        </w:r>
      </w:hyperlink>
    </w:p>
    <w:p>
      <w:pPr>
        <w:ind w:left="480" w:hanging="480"/>
        <w:spacing w:after="80" w:line="276" w:lineRule="auto"/>
        <w:jc w:val="left"/>
      </w:pPr>
      <w:r>
        <w:rPr>
          <w:sz w:val="22"/>
          <w:szCs w:val="22"/>
        </w:rPr>
        <w:t xml:space="preserve">Park, J. D., Nishitani, K., Kokubu, K., Freedman, M., &amp; Weng, Y. (2023). Revisiting sustainability disclosure theories: Evidence from corporate climate change disclosure in the United States and Japan. Journal of Cleaner Production, 382, 135203. </w:t>
      </w:r>
      <w:hyperlink r:id="rId160" w:history="1">
        <w:r>
          <w:rPr>
            <w:rStyle w:val="Hyperlink"/>
            <w:rFonts w:ascii="Times New Roman" w:hAnsi="Times New Roman"/>
            <w:color w:val="0563C1"/>
            <w:u w:val="single"/>
            <w:sz w:val="22"/>
            <w:szCs w:val="22"/>
          </w:rPr>
          <w:t xml:space="preserve">https://doi.org/10.1016/j.jclepro.2022.135203</w:t>
        </w:r>
      </w:hyperlink>
    </w:p>
    <w:p>
      <w:pPr>
        <w:ind w:left="480" w:hanging="480"/>
        <w:spacing w:after="80" w:line="276" w:lineRule="auto"/>
        <w:jc w:val="left"/>
      </w:pPr>
      <w:r>
        <w:rPr>
          <w:sz w:val="22"/>
          <w:szCs w:val="22"/>
        </w:rPr>
        <w:t xml:space="preserve">Patten, D. M. (2002). The relation between environmental performance and environmental disclosure: A research note. Accounting, Organizations and Society, 27(8), 763-773. </w:t>
      </w:r>
      <w:hyperlink r:id="rId161" w:history="1">
        <w:r>
          <w:rPr>
            <w:rStyle w:val="Hyperlink"/>
            <w:rFonts w:ascii="Times New Roman" w:hAnsi="Times New Roman"/>
            <w:color w:val="0563C1"/>
            <w:u w:val="single"/>
            <w:sz w:val="22"/>
            <w:szCs w:val="22"/>
          </w:rPr>
          <w:t xml:space="preserve">https://doi.org/10.1016/S0361-3682(02)00028-4</w:t>
        </w:r>
      </w:hyperlink>
    </w:p>
    <w:p>
      <w:pPr>
        <w:ind w:left="480" w:hanging="480"/>
        <w:spacing w:after="80" w:line="276" w:lineRule="auto"/>
        <w:jc w:val="left"/>
      </w:pPr>
      <w:r>
        <w:rPr>
          <w:sz w:val="22"/>
          <w:szCs w:val="22"/>
        </w:rPr>
        <w:t xml:space="preserve">Petersen, M. A. (2009). Estimating standard errors in finance panel data sets: Comparing approaches. Review of Financial Studies, 22(1), 435-480. </w:t>
      </w:r>
      <w:hyperlink r:id="rId162" w:history="1">
        <w:r>
          <w:rPr>
            <w:rStyle w:val="Hyperlink"/>
            <w:rFonts w:ascii="Times New Roman" w:hAnsi="Times New Roman"/>
            <w:color w:val="0563C1"/>
            <w:u w:val="single"/>
            <w:sz w:val="22"/>
            <w:szCs w:val="22"/>
          </w:rPr>
          <w:t xml:space="preserve">https://doi.org/10.1093/rfs/hhn053</w:t>
        </w:r>
      </w:hyperlink>
    </w:p>
    <w:p>
      <w:pPr>
        <w:ind w:left="480" w:hanging="480"/>
        <w:spacing w:after="80" w:line="276" w:lineRule="auto"/>
        <w:jc w:val="left"/>
      </w:pPr>
      <w:r>
        <w:rPr>
          <w:sz w:val="22"/>
          <w:szCs w:val="22"/>
        </w:rPr>
        <w:t xml:space="preserve">Porter, M. E., &amp; van der Linde, C. (1995). Toward a new conception of the environment-competitiveness relationship. Journal of Economic Perspectives, 9(4), 97-118. </w:t>
      </w:r>
      <w:hyperlink r:id="rId163" w:history="1">
        <w:r>
          <w:rPr>
            <w:rStyle w:val="Hyperlink"/>
            <w:rFonts w:ascii="Times New Roman" w:hAnsi="Times New Roman"/>
            <w:color w:val="0563C1"/>
            <w:u w:val="single"/>
            <w:sz w:val="22"/>
            <w:szCs w:val="22"/>
          </w:rPr>
          <w:t xml:space="preserve">https://doi.org/10.1257/jep.9.4.97</w:t>
        </w:r>
      </w:hyperlink>
    </w:p>
    <w:p>
      <w:pPr>
        <w:ind w:left="480" w:hanging="480"/>
        <w:spacing w:after="80" w:line="276" w:lineRule="auto"/>
        <w:jc w:val="left"/>
      </w:pPr>
      <w:r>
        <w:rPr>
          <w:sz w:val="22"/>
          <w:szCs w:val="22"/>
        </w:rPr>
        <w:t xml:space="preserve">Qiu, W., Xuan, Y., Ahmad, M., Sun, S., &amp; Yang, J. (2026). Do sustainability committees mitigate or exacerbate ESG decoupling? Business Strategy and the Environment. Advance online publication. </w:t>
      </w:r>
      <w:hyperlink r:id="rId164" w:history="1">
        <w:r>
          <w:rPr>
            <w:rStyle w:val="Hyperlink"/>
            <w:rFonts w:ascii="Times New Roman" w:hAnsi="Times New Roman"/>
            <w:color w:val="0563C1"/>
            <w:u w:val="single"/>
            <w:sz w:val="22"/>
            <w:szCs w:val="22"/>
          </w:rPr>
          <w:t xml:space="preserve">https://doi.org/10.1002/bse.70976</w:t>
        </w:r>
      </w:hyperlink>
    </w:p>
    <w:p>
      <w:pPr>
        <w:ind w:left="480" w:hanging="480"/>
        <w:spacing w:after="80" w:line="276" w:lineRule="auto"/>
        <w:jc w:val="left"/>
      </w:pPr>
      <w:r>
        <w:rPr>
          <w:sz w:val="22"/>
          <w:szCs w:val="22"/>
        </w:rPr>
        <w:t xml:space="preserve">Rugman, A. M., &amp; Verbeke, A. (1998). Corporate strategies and environmental regulations: An organizing framework. Strategic Management Journal, 19(4), 363-375. </w:t>
      </w:r>
      <w:hyperlink r:id="rId165" w:history="1">
        <w:r>
          <w:rPr>
            <w:rStyle w:val="Hyperlink"/>
            <w:rFonts w:ascii="Times New Roman" w:hAnsi="Times New Roman"/>
            <w:color w:val="0563C1"/>
            <w:u w:val="single"/>
            <w:sz w:val="22"/>
            <w:szCs w:val="22"/>
          </w:rPr>
          <w:t xml:space="preserve">https://doi.org/10.1002/(SICI)1097-0266(199804)19:4&lt;363::AID-SMJ974&gt;3.0.CO;2-H</w:t>
        </w:r>
      </w:hyperlink>
    </w:p>
    <w:p>
      <w:pPr>
        <w:ind w:left="480" w:hanging="480"/>
        <w:spacing w:after="80" w:line="276" w:lineRule="auto"/>
        <w:jc w:val="left"/>
      </w:pPr>
      <w:r>
        <w:rPr>
          <w:sz w:val="22"/>
          <w:szCs w:val="22"/>
        </w:rPr>
        <w:t xml:space="preserve">Ryu, H., Chae, S., &amp; Song, B. (2017). Corporate environmental responsibility: A legal origins perspective. Journal of Business Ethics, 140(3), 381-402. </w:t>
      </w:r>
      <w:hyperlink r:id="rId166" w:history="1">
        <w:r>
          <w:rPr>
            <w:rStyle w:val="Hyperlink"/>
            <w:rFonts w:ascii="Times New Roman" w:hAnsi="Times New Roman"/>
            <w:color w:val="0563C1"/>
            <w:u w:val="single"/>
            <w:sz w:val="22"/>
            <w:szCs w:val="22"/>
          </w:rPr>
          <w:t xml:space="preserve">https://doi.org/10.1007/s10551-015-2641-1</w:t>
        </w:r>
      </w:hyperlink>
    </w:p>
    <w:p>
      <w:pPr>
        <w:ind w:left="480" w:hanging="480"/>
        <w:spacing w:after="80" w:line="276" w:lineRule="auto"/>
        <w:jc w:val="left"/>
      </w:pPr>
      <w:r>
        <w:rPr>
          <w:sz w:val="22"/>
          <w:szCs w:val="22"/>
        </w:rPr>
        <w:t xml:space="preserve">Science Based Targets initiative. (2026). Corporate climate target-setting up 40% in 2025. SBTi annual progress report.</w:t>
      </w:r>
    </w:p>
    <w:p>
      <w:pPr>
        <w:ind w:left="480" w:hanging="480"/>
        <w:spacing w:after="80" w:line="276" w:lineRule="auto"/>
        <w:jc w:val="left"/>
      </w:pPr>
      <w:r>
        <w:rPr>
          <w:sz w:val="22"/>
          <w:szCs w:val="22"/>
        </w:rPr>
        <w:t xml:space="preserve">Seele, P., &amp; Gatti, L. (2017). Greenwashing revisited: In search of a typology and accusation-based definition incorporating legitimacy strategies. Business Strategy and the Environment, 26(2), 239-252. </w:t>
      </w:r>
      <w:hyperlink r:id="rId167" w:history="1">
        <w:r>
          <w:rPr>
            <w:rStyle w:val="Hyperlink"/>
            <w:rFonts w:ascii="Times New Roman" w:hAnsi="Times New Roman"/>
            <w:color w:val="0563C1"/>
            <w:u w:val="single"/>
            <w:sz w:val="22"/>
            <w:szCs w:val="22"/>
          </w:rPr>
          <w:t xml:space="preserve">https://doi.org/10.1002/bse.1912</w:t>
        </w:r>
      </w:hyperlink>
    </w:p>
    <w:p>
      <w:pPr>
        <w:ind w:left="480" w:hanging="480"/>
        <w:spacing w:after="80" w:line="276" w:lineRule="auto"/>
        <w:jc w:val="left"/>
      </w:pPr>
      <w:r>
        <w:rPr>
          <w:sz w:val="22"/>
          <w:szCs w:val="22"/>
        </w:rPr>
        <w:t xml:space="preserve">Shuang, Q., Lu, J., Wang, S., Callari, D., &amp; Cucari, N. (2024). Exploring the power of informal institutions: How does social trust affect corporate’s greenwashing strategy. Business Strategy and the Environment, 33(8), 9098-9115. </w:t>
      </w:r>
      <w:hyperlink r:id="rId168" w:history="1">
        <w:r>
          <w:rPr>
            <w:rStyle w:val="Hyperlink"/>
            <w:rFonts w:ascii="Times New Roman" w:hAnsi="Times New Roman"/>
            <w:color w:val="0563C1"/>
            <w:u w:val="single"/>
            <w:sz w:val="22"/>
            <w:szCs w:val="22"/>
          </w:rPr>
          <w:t xml:space="preserve">https://doi.org/10.1002/bse.3964</w:t>
        </w:r>
      </w:hyperlink>
    </w:p>
    <w:p>
      <w:pPr>
        <w:ind w:left="480" w:hanging="480"/>
        <w:spacing w:after="80" w:line="276" w:lineRule="auto"/>
        <w:jc w:val="left"/>
      </w:pPr>
      <w:r>
        <w:rPr>
          <w:sz w:val="22"/>
          <w:szCs w:val="22"/>
        </w:rPr>
        <w:t xml:space="preserve">Suchman, M. C. (1995). Managing legitimacy: Strategic and institutional approaches. Academy of Management Review, 20(3), 571-610. </w:t>
      </w:r>
      <w:hyperlink r:id="rId169" w:history="1">
        <w:r>
          <w:rPr>
            <w:rStyle w:val="Hyperlink"/>
            <w:rFonts w:ascii="Times New Roman" w:hAnsi="Times New Roman"/>
            <w:color w:val="0563C1"/>
            <w:u w:val="single"/>
            <w:sz w:val="22"/>
            <w:szCs w:val="22"/>
          </w:rPr>
          <w:t xml:space="preserve">https://doi.org/10.5465/amr.1995.9508080331</w:t>
        </w:r>
      </w:hyperlink>
    </w:p>
    <w:p>
      <w:pPr>
        <w:ind w:left="480" w:hanging="480"/>
        <w:spacing w:after="80" w:line="276" w:lineRule="auto"/>
        <w:jc w:val="left"/>
      </w:pPr>
      <w:r>
        <w:rPr>
          <w:sz w:val="22"/>
          <w:szCs w:val="22"/>
        </w:rPr>
        <w:t xml:space="preserve">Tashman, P., Marano, V., &amp; Kostova, T. (2019). Walking the walk or talking the talk? MNEs and the decoupling of corporate social responsibility. Journal of International Business Studies, 50, 153-171. </w:t>
      </w:r>
      <w:hyperlink r:id="rId170" w:history="1">
        <w:r>
          <w:rPr>
            <w:rStyle w:val="Hyperlink"/>
            <w:rFonts w:ascii="Times New Roman" w:hAnsi="Times New Roman"/>
            <w:color w:val="0563C1"/>
            <w:u w:val="single"/>
            <w:sz w:val="22"/>
            <w:szCs w:val="22"/>
          </w:rPr>
          <w:t xml:space="preserve">https://doi.org/10.1057/s41267-018-0171-7</w:t>
        </w:r>
      </w:hyperlink>
    </w:p>
    <w:p>
      <w:pPr>
        <w:ind w:left="480" w:hanging="480"/>
        <w:spacing w:after="80" w:line="276" w:lineRule="auto"/>
        <w:jc w:val="left"/>
      </w:pPr>
      <w:r>
        <w:rPr>
          <w:sz w:val="22"/>
          <w:szCs w:val="22"/>
        </w:rPr>
        <w:t xml:space="preserve">Transnational Environmental Law. (2019). Collective obligation and individual ambition in the Paris Agreement. Transnational Environmental Law. [authors to be completed] </w:t>
      </w:r>
      <w:hyperlink r:id="rId171" w:history="1">
        <w:r>
          <w:rPr>
            <w:rStyle w:val="Hyperlink"/>
            <w:rFonts w:ascii="Times New Roman" w:hAnsi="Times New Roman"/>
            <w:color w:val="0563C1"/>
            <w:u w:val="single"/>
            <w:sz w:val="22"/>
            <w:szCs w:val="22"/>
          </w:rPr>
          <w:t xml:space="preserve">https://doi.org/10.1017/S2047102519000281</w:t>
        </w:r>
      </w:hyperlink>
    </w:p>
    <w:p>
      <w:pPr>
        <w:ind w:left="480" w:hanging="480"/>
        <w:spacing w:after="80" w:line="276" w:lineRule="auto"/>
        <w:jc w:val="left"/>
      </w:pPr>
      <w:r>
        <w:rPr>
          <w:sz w:val="22"/>
          <w:szCs w:val="22"/>
        </w:rPr>
        <w:t xml:space="preserve">Voigt, C. (2023). The power of the Paris Agreement in international climate litigation. Review of European, Comparative &amp; International Environmental Law, 32(2), 237-249. </w:t>
      </w:r>
      <w:hyperlink r:id="rId172" w:history="1">
        <w:r>
          <w:rPr>
            <w:rStyle w:val="Hyperlink"/>
            <w:rFonts w:ascii="Times New Roman" w:hAnsi="Times New Roman"/>
            <w:color w:val="0563C1"/>
            <w:u w:val="single"/>
            <w:sz w:val="22"/>
            <w:szCs w:val="22"/>
          </w:rPr>
          <w:t xml:space="preserve">https://doi.org/10.1111/reel.12514</w:t>
        </w:r>
      </w:hyperlink>
    </w:p>
    <w:p>
      <w:pPr>
        <w:ind w:left="480" w:hanging="480"/>
        <w:spacing w:after="80" w:line="276" w:lineRule="auto"/>
        <w:jc w:val="left"/>
      </w:pPr>
      <w:r>
        <w:rPr>
          <w:sz w:val="22"/>
          <w:szCs w:val="22"/>
        </w:rPr>
        <w:t xml:space="preserve">Yadav, A., Singh, P., &amp; Kumar, S. (2026). Unveiling the dynamics of green innovation on ESG performance: The role of financial distress and the impact of the Paris Agreement. Thunderbird International Business Review. Advance online publication. </w:t>
      </w:r>
      <w:hyperlink r:id="rId173" w:history="1">
        <w:r>
          <w:rPr>
            <w:rStyle w:val="Hyperlink"/>
            <w:rFonts w:ascii="Times New Roman" w:hAnsi="Times New Roman"/>
            <w:color w:val="0563C1"/>
            <w:u w:val="single"/>
            <w:sz w:val="22"/>
            <w:szCs w:val="22"/>
          </w:rPr>
          <w:t xml:space="preserve">https://doi.org/10.1002/tie.70042</w:t>
        </w:r>
      </w:hyperlink>
    </w:p>
    <w:p>
      <w:pPr>
        <w:ind w:left="480" w:hanging="480"/>
        <w:spacing w:after="80" w:line="276" w:lineRule="auto"/>
        <w:jc w:val="left"/>
      </w:pPr>
      <w:r>
        <w:rPr>
          <w:sz w:val="22"/>
          <w:szCs w:val="22"/>
        </w:rPr>
        <w:t xml:space="preserve">Yang, C., Zhu, C., &amp; Albitar, K. (2024). ESG ratings and green innovation: A U-shaped journey towards sustainable development. Business Strategy and the Environment, 33(5), 4108-4129. </w:t>
      </w:r>
      <w:hyperlink r:id="rId174" w:history="1">
        <w:r>
          <w:rPr>
            <w:rStyle w:val="Hyperlink"/>
            <w:rFonts w:ascii="Times New Roman" w:hAnsi="Times New Roman"/>
            <w:color w:val="0563C1"/>
            <w:u w:val="single"/>
            <w:sz w:val="22"/>
            <w:szCs w:val="22"/>
          </w:rPr>
          <w:t xml:space="preserve">https://doi.org/10.1002/bse.3692</w:t>
        </w:r>
      </w:hyperlink>
    </w:p>
    <w:p>
      <w:pPr>
        <w:ind w:left="480" w:hanging="480"/>
        <w:spacing w:after="80" w:line="276" w:lineRule="auto"/>
        <w:jc w:val="left"/>
      </w:pPr>
      <w:r>
        <w:rPr>
          <w:sz w:val="22"/>
          <w:szCs w:val="22"/>
        </w:rPr>
        <w:t xml:space="preserve">Yu, E. P. Y., Luu, B. V., &amp; Chen, C. H. (2020). Greenwashing in environmental, social and governance disclosures. Research in International Business and Finance, 52, 101192. </w:t>
      </w:r>
      <w:hyperlink r:id="rId175" w:history="1">
        <w:r>
          <w:rPr>
            <w:rStyle w:val="Hyperlink"/>
            <w:rFonts w:ascii="Times New Roman" w:hAnsi="Times New Roman"/>
            <w:color w:val="0563C1"/>
            <w:u w:val="single"/>
            <w:sz w:val="22"/>
            <w:szCs w:val="22"/>
          </w:rPr>
          <w:t xml:space="preserve">https://doi.org/10.1016/j.ribaf.2020.101192</w:t>
        </w:r>
      </w:hyperlink>
    </w:p>
    <w:p>
      <w:pPr>
        <w:ind w:left="480" w:hanging="480"/>
        <w:spacing w:after="80" w:line="276" w:lineRule="auto"/>
        <w:jc w:val="left"/>
      </w:pPr>
      <w:r>
        <w:rPr>
          <w:sz w:val="22"/>
          <w:szCs w:val="22"/>
        </w:rPr>
        <w:t xml:space="preserve">Yue, J., &amp; Li, Y. (2023). Media attention and corporate greenwashing behavior: Evidence from China. Finance Research Letters, 55, 104016. </w:t>
      </w:r>
      <w:hyperlink r:id="rId176" w:history="1">
        <w:r>
          <w:rPr>
            <w:rStyle w:val="Hyperlink"/>
            <w:rFonts w:ascii="Times New Roman" w:hAnsi="Times New Roman"/>
            <w:color w:val="0563C1"/>
            <w:u w:val="single"/>
            <w:sz w:val="22"/>
            <w:szCs w:val="22"/>
          </w:rPr>
          <w:t xml:space="preserve">https://doi.org/10.1016/j.frl.2023.104016</w:t>
        </w:r>
      </w:hyperlink>
    </w:p>
    <w:p>
      <w:pPr>
        <w:ind w:left="480" w:hanging="480"/>
        <w:spacing w:after="80" w:line="276" w:lineRule="auto"/>
        <w:jc w:val="left"/>
      </w:pPr>
      <w:r>
        <w:rPr>
          <w:sz w:val="22"/>
          <w:szCs w:val="22"/>
        </w:rPr>
        <w:t xml:space="preserve">Zhao, Y. N., &amp; Lee, C. C. (2024). The impact of vertical environmental regulation mechanism on greenwashing. Journal of Cleaner Production, 475, 143637. </w:t>
      </w:r>
      <w:hyperlink r:id="rId177" w:history="1">
        <w:r>
          <w:rPr>
            <w:rStyle w:val="Hyperlink"/>
            <w:rFonts w:ascii="Times New Roman" w:hAnsi="Times New Roman"/>
            <w:color w:val="0563C1"/>
            <w:u w:val="single"/>
            <w:sz w:val="22"/>
            <w:szCs w:val="22"/>
          </w:rPr>
          <w:t xml:space="preserve">https://doi.org/10.1016/j.jclepro.2024.143637</w:t>
        </w:r>
      </w:hyperlink>
    </w:p>
    <w:p>
      <w:pPr>
        <w:spacing w:before="200" w:after="120"/>
      </w:pPr>
      <w:r>
        <w:rPr>
          <w:b/>
          <w:sz w:val="26"/>
          <w:szCs w:val="26"/>
        </w:rPr>
        <w:t xml:space="preserve">Appendix. Figures</w:t>
      </w:r>
    </w:p>
    <w:p>
      <w:pPr>
        <w:jc w:val="both"/>
        <w:spacing w:after="120" w:line="276" w:lineRule="auto"/>
      </w:pPr>
      <w:r>
        <w:t xml:space="preserve">All figures are referenced in the main text and collected here.</w:t>
      </w:r>
    </w:p>
    <w:p>
      <w:pPr>
        <w:jc w:val="center"/>
        <w:spacing w:after="60"/>
      </w:pPr>
      <w:r>
        <w:drawing>
          <wp:inline distT="0" distB="0" distL="0" distR="0">
            <wp:extent cx="5120640" cy="2820003"/>
            <wp:effectExtent l="0" t="0" r="0" b="0"/>
            <wp:docPr id="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0"/>
                    <a:stretch>
                      <a:fillRect/>
                    </a:stretch>
                  </pic:blipFill>
                  <pic:spPr>
                    <a:xfrm>
                      <a:off x="0" y="0"/>
                      <a:ext cx="5120640" cy="2820003"/>
                    </a:xfrm>
                    <a:prstGeom prst="rect">
                      <a:avLst/>
                    </a:prstGeom>
                  </pic:spPr>
                </pic:pic>
              </a:graphicData>
            </a:graphic>
          </wp:inline>
        </w:drawing>
      </w:r>
    </w:p>
    <w:p>
      <w:pPr>
        <w:jc w:val="both"/>
        <w:spacing w:after="160" w:line="276" w:lineRule="auto"/>
      </w:pPr>
      <w:r>
        <w:rPr>
          <w:sz w:val="20"/>
          <w:szCs w:val="20"/>
        </w:rPr>
        <w:t xml:space="preserve">Figure 1. Conceptual framework. The Paris Agreement raises legitimacy expectations across the global organizational field without imposing firm-level enforcement. The resulting pressure is absorbed through two channels, a low-cost symbolic channel of environmental disclosure and a costly substantive channel of green innovation. A strong rule of law separates the two channels rather than amplifying disclosure (H2), whereas common-law origin strengthens the symbolic response (H3), leaving the average substantive effect limited (H1).</w:t>
      </w:r>
    </w:p>
    <w:p>
      <w:pPr>
        <w:jc w:val="center"/>
        <w:spacing w:after="60"/>
      </w:pPr>
      <w:r>
        <w:drawing>
          <wp:inline distT="0" distB="0" distL="0" distR="0">
            <wp:extent cx="5120640" cy="2666313"/>
            <wp:effectExtent l="0" t="0" r="0" b="0"/>
            <wp:docPr id="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pic:cNvPicPr/>
                  </pic:nvPicPr>
                  <pic:blipFill>
                    <a:blip r:embed="rId11"/>
                    <a:stretch>
                      <a:fillRect/>
                    </a:stretch>
                  </pic:blipFill>
                  <pic:spPr>
                    <a:xfrm>
                      <a:off x="0" y="0"/>
                      <a:ext cx="5120640" cy="2666313"/>
                    </a:xfrm>
                    <a:prstGeom prst="rect">
                      <a:avLst/>
                    </a:prstGeom>
                  </pic:spPr>
                </pic:pic>
              </a:graphicData>
            </a:graphic>
          </wp:inline>
        </w:drawing>
      </w:r>
    </w:p>
    <w:p>
      <w:pPr>
        <w:jc w:val="both"/>
        <w:spacing w:after="160" w:line="276" w:lineRule="auto"/>
      </w:pPr>
      <w:r>
        <w:rPr>
          <w:sz w:val="20"/>
          <w:szCs w:val="20"/>
        </w:rPr>
        <w:t xml:space="preserve">Figure 2. Corporate green innovation, environmental disclosure, and ESG scores around the climate-treaty timeline, 2007 to 2025. Vertical lines mark the five milestones. Values are firm-year means on the 0 to 100 scales.</w:t>
      </w:r>
    </w:p>
    <w:p>
      <w:pPr>
        <w:jc w:val="center"/>
        <w:spacing w:after="60"/>
      </w:pPr>
      <w:r>
        <w:drawing>
          <wp:inline distT="0" distB="0" distL="0" distR="0">
            <wp:extent cx="5120640" cy="2819552"/>
            <wp:effectExtent l="0" t="0" r="0" b="0"/>
            <wp:docPr id="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2"/>
                    <a:stretch>
                      <a:fillRect/>
                    </a:stretch>
                  </pic:blipFill>
                  <pic:spPr>
                    <a:xfrm>
                      <a:off x="0" y="0"/>
                      <a:ext cx="5120640" cy="2819552"/>
                    </a:xfrm>
                    <a:prstGeom prst="rect">
                      <a:avLst/>
                    </a:prstGeom>
                  </pic:spPr>
                </pic:pic>
              </a:graphicData>
            </a:graphic>
          </wp:inline>
        </w:drawing>
      </w:r>
    </w:p>
    <w:p>
      <w:pPr>
        <w:jc w:val="center"/>
        <w:spacing w:after="60"/>
      </w:pPr>
      <w:r>
        <w:drawing>
          <wp:inline distT="0" distB="0" distL="0" distR="0">
            <wp:extent cx="5120640" cy="2158785"/>
            <wp:effectExtent l="0" t="0" r="0" b="0"/>
            <wp:docPr id="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png"/>
                    <pic:cNvPicPr/>
                  </pic:nvPicPr>
                  <pic:blipFill>
                    <a:blip r:embed="rId13"/>
                    <a:stretch>
                      <a:fillRect/>
                    </a:stretch>
                  </pic:blipFill>
                  <pic:spPr>
                    <a:xfrm>
                      <a:off x="0" y="0"/>
                      <a:ext cx="5120640" cy="2158785"/>
                    </a:xfrm>
                    <a:prstGeom prst="rect">
                      <a:avLst/>
                    </a:prstGeom>
                  </pic:spPr>
                </pic:pic>
              </a:graphicData>
            </a:graphic>
          </wp:inline>
        </w:drawing>
      </w:r>
    </w:p>
    <w:p>
      <w:pPr>
        <w:jc w:val="both"/>
        <w:spacing w:after="160" w:line="276" w:lineRule="auto"/>
      </w:pPr>
      <w:r>
        <w:rPr>
          <w:sz w:val="20"/>
          <w:szCs w:val="20"/>
        </w:rPr>
        <w:t xml:space="preserve">Figure 3. Talk versus action: post-treaty interaction coefficients by outcome, with 95 percent confidence intervals. Panel A reports the common-law interaction after Paris (Table 10); Panel B reports the strong-rule-of-law interactions for Paris and Glasgow (Tables 6 and 7). The disclosure coefficients are distinguishable from zero whereas the corresponding green-innovation coefficients are null or non-substantive.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276" w:lineRule="auto"/>
      </w:pPr>
    </w:pPrDefault>
  </w:docDefaults>
  <w:style w:type="paragraph" w:default="1" w:styleId="Normal">
    <w:name w:val="Normal"/>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00" Type="http://schemas.openxmlformats.org/officeDocument/2006/relationships/hyperlink" Target="https://doi.org/10.1177/0149206311436079" TargetMode="External"/><Relationship Id="rId101" Type="http://schemas.openxmlformats.org/officeDocument/2006/relationships/hyperlink" Target="https://doi.org/10.1002/csr.2869" TargetMode="External"/><Relationship Id="rId102" Type="http://schemas.openxmlformats.org/officeDocument/2006/relationships/hyperlink" Target="https://doi.org/10.1002/bse.2426" TargetMode="External"/><Relationship Id="rId103" Type="http://schemas.openxmlformats.org/officeDocument/2006/relationships/hyperlink" Target="https://doi.org/10.1093/reep/ret008" TargetMode="External"/><Relationship Id="rId104" Type="http://schemas.openxmlformats.org/officeDocument/2006/relationships/hyperlink" Target="https://doi.org/10.5465/annals.2018.0014" TargetMode="External"/><Relationship Id="rId105" Type="http://schemas.openxmlformats.org/officeDocument/2006/relationships/hyperlink" Target="https://doi.org/10.3390/su10082611" TargetMode="External"/><Relationship Id="rId106" Type="http://schemas.openxmlformats.org/officeDocument/2006/relationships/hyperlink" Target="https://doi.org/10.5465/20159562" TargetMode="External"/><Relationship Id="rId107" Type="http://schemas.openxmlformats.org/officeDocument/2006/relationships/hyperlink" Target="https://doi.org/10.5465/078559816" TargetMode="External"/><Relationship Id="rId108" Type="http://schemas.openxmlformats.org/officeDocument/2006/relationships/hyperlink" Target="https://doi.org/10.1093/rof/rfac033" TargetMode="External"/><Relationship Id="rId109" Type="http://schemas.openxmlformats.org/officeDocument/2006/relationships/hyperlink" Target="https://doi.org/10.5465/AMJ.2009.36461950" TargetMode="External"/><Relationship Id="rId110" Type="http://schemas.openxmlformats.org/officeDocument/2006/relationships/hyperlink" Target="https://doi.org/10.1002/smj.2041" TargetMode="External"/><Relationship Id="rId111" Type="http://schemas.openxmlformats.org/officeDocument/2006/relationships/hyperlink" Target="https://doi.org/10.1162/003355304772839588" TargetMode="External"/><Relationship Id="rId112" Type="http://schemas.openxmlformats.org/officeDocument/2006/relationships/hyperlink" Target="https://doi.org/10.1016/j.eneco.2025.108834" TargetMode="External"/><Relationship Id="rId113" Type="http://schemas.openxmlformats.org/officeDocument/2006/relationships/hyperlink" Target="https://doi.org/10.1002/bse.3362" TargetMode="External"/><Relationship Id="rId114" Type="http://schemas.openxmlformats.org/officeDocument/2006/relationships/hyperlink" Target="https://doi.org/10.1111/reel.12154" TargetMode="External"/><Relationship Id="rId115" Type="http://schemas.openxmlformats.org/officeDocument/2006/relationships/hyperlink" Target="https://doi.org/10.1111/beer.12630" TargetMode="External"/><Relationship Id="rId116" Type="http://schemas.openxmlformats.org/officeDocument/2006/relationships/hyperlink" Target="https://doi.org/10.1016/j.jfineco.2021.05.008" TargetMode="External"/><Relationship Id="rId117" Type="http://schemas.openxmlformats.org/officeDocument/2006/relationships/hyperlink" Target="https://doi.org/10.1111/acfi.12757" TargetMode="External"/><Relationship Id="rId118" Type="http://schemas.openxmlformats.org/officeDocument/2006/relationships/hyperlink" Target="https://doi.org/10.1016/j.jeconom.2020.12.001" TargetMode="External"/><Relationship Id="rId119" Type="http://schemas.openxmlformats.org/officeDocument/2006/relationships/hyperlink" Target="https://doi.org/10.1002/bse.4336" TargetMode="External"/><Relationship Id="rId120" Type="http://schemas.openxmlformats.org/officeDocument/2006/relationships/hyperlink" Target="https://doi.org/10.1016/j.aos.2006.09.009" TargetMode="External"/><Relationship Id="rId121" Type="http://schemas.openxmlformats.org/officeDocument/2006/relationships/hyperlink" Target="https://doi.org/10.1016/j.aos.2014.12.003" TargetMode="External"/><Relationship Id="rId122" Type="http://schemas.openxmlformats.org/officeDocument/2006/relationships/hyperlink" Target="https://doi.org/10.1016/j.aos.2009.10.002" TargetMode="External"/><Relationship Id="rId123" Type="http://schemas.openxmlformats.org/officeDocument/2006/relationships/hyperlink" Target="https://doi.org/10.1007/s11142-021-09609-5" TargetMode="External"/><Relationship Id="rId124" Type="http://schemas.openxmlformats.org/officeDocument/2006/relationships/hyperlink" Target="https://doi.org/10.1016/j.aos.2007.05.003" TargetMode="External"/><Relationship Id="rId125" Type="http://schemas.openxmlformats.org/officeDocument/2006/relationships/hyperlink" Target="https://doi.org/10.1007/s10551-020-04441-4" TargetMode="External"/><Relationship Id="rId126" Type="http://schemas.openxmlformats.org/officeDocument/2006/relationships/hyperlink" Target="https://doi.org/10.1287/mnsc.2024.09124" TargetMode="External"/><Relationship Id="rId127" Type="http://schemas.openxmlformats.org/officeDocument/2006/relationships/hyperlink" Target="https://doi.org/10.1086/695613" TargetMode="External"/><Relationship Id="rId128" Type="http://schemas.openxmlformats.org/officeDocument/2006/relationships/hyperlink" Target="https://doi.org/10.1108/EUM0000000006264" TargetMode="External"/><Relationship Id="rId129" Type="http://schemas.openxmlformats.org/officeDocument/2006/relationships/hyperlink" Target="https://doi.org/10.1108/09513570210435852" TargetMode="External"/><Relationship Id="rId130" Type="http://schemas.openxmlformats.org/officeDocument/2006/relationships/hyperlink" Target="https://doi.org/10.1525/cmr.2011.54.1.64" TargetMode="External"/><Relationship Id="rId131" Type="http://schemas.openxmlformats.org/officeDocument/2006/relationships/hyperlink" Target="https://doi.org/10.2308/accr.00000005" TargetMode="External"/><Relationship Id="rId132" Type="http://schemas.openxmlformats.org/officeDocument/2006/relationships/hyperlink" Target="https://doi.org/10.2307/2095101" TargetMode="External"/><Relationship Id="rId133" Type="http://schemas.openxmlformats.org/officeDocument/2006/relationships/hyperlink" Target="https://doi.org/10.1111/1467-8551.70068" TargetMode="External"/><Relationship Id="rId134" Type="http://schemas.openxmlformats.org/officeDocument/2006/relationships/hyperlink" Target="https://doi.org/10.1002/bse.3353" TargetMode="External"/><Relationship Id="rId135" Type="http://schemas.openxmlformats.org/officeDocument/2006/relationships/hyperlink" Target="https://doi.org/10.1016/j.iref.2025.103988" TargetMode="External"/><Relationship Id="rId136" Type="http://schemas.openxmlformats.org/officeDocument/2006/relationships/hyperlink" Target="https://doi.org/10.5465/amj.2011.0744" TargetMode="External"/><Relationship Id="rId137" Type="http://schemas.openxmlformats.org/officeDocument/2006/relationships/hyperlink" Target="https://doi.org/10.1016/j.jfineco.2021.01.010" TargetMode="External"/><Relationship Id="rId138" Type="http://schemas.openxmlformats.org/officeDocument/2006/relationships/hyperlink" Target="https://doi.org/10.1080/0015198X.2021.1963186" TargetMode="External"/><Relationship Id="rId139" Type="http://schemas.openxmlformats.org/officeDocument/2006/relationships/hyperlink" Target="https://doi.org/10.1007/s10551-013-1801-4" TargetMode="External"/><Relationship Id="rId140" Type="http://schemas.openxmlformats.org/officeDocument/2006/relationships/hyperlink" Target="https://doi.org/10.1002/smj.2464" TargetMode="External"/><Relationship Id="rId141" Type="http://schemas.openxmlformats.org/officeDocument/2006/relationships/hyperlink" Target="https://doi.org/10.1016/j.jaccpubpol.2016.06.001" TargetMode="External"/><Relationship Id="rId142" Type="http://schemas.openxmlformats.org/officeDocument/2006/relationships/hyperlink" Target="https://doi.org/10.1162/003465397557196" TargetMode="External"/><Relationship Id="rId143" Type="http://schemas.openxmlformats.org/officeDocument/2006/relationships/hyperlink" Target="https://doi.org/10.1017/S1876404511200046" TargetMode="External"/><Relationship Id="rId144" Type="http://schemas.openxmlformats.org/officeDocument/2006/relationships/hyperlink" Target="https://doi.org/10.1111/acfi.70185" TargetMode="External"/><Relationship Id="rId145" Type="http://schemas.openxmlformats.org/officeDocument/2006/relationships/hyperlink" Target="https://doi.org/10.1002/csr.2945" TargetMode="External"/><Relationship Id="rId146" Type="http://schemas.openxmlformats.org/officeDocument/2006/relationships/hyperlink" Target="https://doi.org/10.1287/orsc.2014.0949" TargetMode="External"/><Relationship Id="rId147" Type="http://schemas.openxmlformats.org/officeDocument/2006/relationships/hyperlink" Target="https://doi.org/10.1093/rfs/hhz137" TargetMode="External"/><Relationship Id="rId148" Type="http://schemas.openxmlformats.org/officeDocument/2006/relationships/hyperlink" Target="https://doi.org/10.1257/jel.46.2.285" TargetMode="External"/><Relationship Id="rId149" Type="http://schemas.openxmlformats.org/officeDocument/2006/relationships/hyperlink" Target="https://doi.org/10.1111/jofi.12487" TargetMode="External"/><Relationship Id="rId150" Type="http://schemas.openxmlformats.org/officeDocument/2006/relationships/hyperlink" Target="https://doi.org/10.1016/j.intfin.2020.101264" TargetMode="External"/><Relationship Id="rId151" Type="http://schemas.openxmlformats.org/officeDocument/2006/relationships/hyperlink" Target="https://doi.org/10.1111/j.1530-9134.2010.00282.x" TargetMode="External"/><Relationship Id="rId152" Type="http://schemas.openxmlformats.org/officeDocument/2006/relationships/hyperlink" Target="https://doi.org/10.1177/1086026615575332" TargetMode="External"/><Relationship Id="rId153" Type="http://schemas.openxmlformats.org/officeDocument/2006/relationships/hyperlink" Target="https://doi.org/10.3389/fenvs.2024.1332792" TargetMode="External"/><Relationship Id="rId154" Type="http://schemas.openxmlformats.org/officeDocument/2006/relationships/hyperlink" Target="https://doi.org/10.1002/csr.2328" TargetMode="External"/><Relationship Id="rId155" Type="http://schemas.openxmlformats.org/officeDocument/2006/relationships/hyperlink" Target="https://doi.org/10.1038/s44168-026-00346-6" TargetMode="External"/><Relationship Id="rId156" Type="http://schemas.openxmlformats.org/officeDocument/2006/relationships/hyperlink" Target="https://doi.org/10.1287/orsc.2015.1039" TargetMode="External"/><Relationship Id="rId157" Type="http://schemas.openxmlformats.org/officeDocument/2006/relationships/hyperlink" Target="https://doi.org/10.1086/226550" TargetMode="External"/><Relationship Id="rId158" Type="http://schemas.openxmlformats.org/officeDocument/2006/relationships/hyperlink" Target="https://doi.org/10.1007/s10551-015-2617-1" TargetMode="External"/><Relationship Id="rId159" Type="http://schemas.openxmlformats.org/officeDocument/2006/relationships/hyperlink" Target="https://doi.org/10.5465/amr.1991.4279002" TargetMode="External"/><Relationship Id="rId160" Type="http://schemas.openxmlformats.org/officeDocument/2006/relationships/hyperlink" Target="https://doi.org/10.1016/j.jclepro.2022.135203" TargetMode="External"/><Relationship Id="rId161" Type="http://schemas.openxmlformats.org/officeDocument/2006/relationships/hyperlink" Target="https://doi.org/10.1016/S0361-3682(02)00028-4" TargetMode="External"/><Relationship Id="rId162" Type="http://schemas.openxmlformats.org/officeDocument/2006/relationships/hyperlink" Target="https://doi.org/10.1093/rfs/hhn053" TargetMode="External"/><Relationship Id="rId163" Type="http://schemas.openxmlformats.org/officeDocument/2006/relationships/hyperlink" Target="https://doi.org/10.1257/jep.9.4.97" TargetMode="External"/><Relationship Id="rId164" Type="http://schemas.openxmlformats.org/officeDocument/2006/relationships/hyperlink" Target="https://doi.org/10.1002/bse.70976" TargetMode="External"/><Relationship Id="rId165" Type="http://schemas.openxmlformats.org/officeDocument/2006/relationships/hyperlink" Target="https://doi.org/10.1002/(SICI)1097-0266(199804)19:4&lt;363::AID-SMJ974&gt;3.0.CO;2-H" TargetMode="External"/><Relationship Id="rId166" Type="http://schemas.openxmlformats.org/officeDocument/2006/relationships/hyperlink" Target="https://doi.org/10.1007/s10551-015-2641-1" TargetMode="External"/><Relationship Id="rId167" Type="http://schemas.openxmlformats.org/officeDocument/2006/relationships/hyperlink" Target="https://doi.org/10.1002/bse.1912" TargetMode="External"/><Relationship Id="rId168" Type="http://schemas.openxmlformats.org/officeDocument/2006/relationships/hyperlink" Target="https://doi.org/10.1002/bse.3964" TargetMode="External"/><Relationship Id="rId169" Type="http://schemas.openxmlformats.org/officeDocument/2006/relationships/hyperlink" Target="https://doi.org/10.5465/amr.1995.9508080331" TargetMode="External"/><Relationship Id="rId170" Type="http://schemas.openxmlformats.org/officeDocument/2006/relationships/hyperlink" Target="https://doi.org/10.1057/s41267-018-0171-7" TargetMode="External"/><Relationship Id="rId171" Type="http://schemas.openxmlformats.org/officeDocument/2006/relationships/hyperlink" Target="https://doi.org/10.1017/S2047102519000281" TargetMode="External"/><Relationship Id="rId172" Type="http://schemas.openxmlformats.org/officeDocument/2006/relationships/hyperlink" Target="https://doi.org/10.1111/reel.12514" TargetMode="External"/><Relationship Id="rId173" Type="http://schemas.openxmlformats.org/officeDocument/2006/relationships/hyperlink" Target="https://doi.org/10.1002/tie.70042" TargetMode="External"/><Relationship Id="rId174" Type="http://schemas.openxmlformats.org/officeDocument/2006/relationships/hyperlink" Target="https://doi.org/10.1002/bse.3692" TargetMode="External"/><Relationship Id="rId175" Type="http://schemas.openxmlformats.org/officeDocument/2006/relationships/hyperlink" Target="https://doi.org/10.1016/j.ribaf.2020.101192" TargetMode="External"/><Relationship Id="rId176" Type="http://schemas.openxmlformats.org/officeDocument/2006/relationships/hyperlink" Target="https://doi.org/10.1016/j.frl.2023.104016" TargetMode="External"/><Relationship Id="rId177" Type="http://schemas.openxmlformats.org/officeDocument/2006/relationships/hyperlink" Target="https://doi.org/10.1016/j.jclepro.2024.143637"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Talk Without Substance?</dc:title>
</cp:coreProperties>
</file>