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3CD8" w:rsidRPr="0002072B" w:rsidRDefault="00A43542" w:rsidP="0002072B">
      <w:pPr>
        <w:jc w:val="center"/>
        <w:rPr>
          <w:i/>
          <w:iCs/>
        </w:rPr>
      </w:pPr>
      <w:bookmarkStart w:id="0" w:name="_GoBack"/>
      <w:r w:rsidRPr="0002072B">
        <w:rPr>
          <w:rFonts w:cs="Times New Roman"/>
          <w:b/>
          <w:bCs/>
          <w:i/>
          <w:iCs/>
          <w:sz w:val="28"/>
          <w:szCs w:val="28"/>
        </w:rPr>
        <w:t>Supplementary Material</w:t>
      </w:r>
    </w:p>
    <w:bookmarkEnd w:id="0"/>
    <w:p w:rsidR="00833CD8" w:rsidRPr="0002072B" w:rsidRDefault="00A43542" w:rsidP="0002072B">
      <w:pPr>
        <w:jc w:val="center"/>
        <w:rPr>
          <w:b/>
          <w:bCs/>
        </w:rPr>
      </w:pPr>
      <w:r w:rsidRPr="0002072B">
        <w:rPr>
          <w:rFonts w:cs="Times New Roman"/>
          <w:b/>
          <w:bCs/>
        </w:rPr>
        <w:t>OmicsXplore: A Fully Cloud-Based Platform for Automated, End-to-End Bioinformatics Analysis Applied to RNA Sequencing of Idiopathic Pulmonary Fibrosis Lung Tissue</w:t>
      </w:r>
    </w:p>
    <w:p w:rsidR="00833CD8" w:rsidRDefault="00A43542" w:rsidP="0002072B">
      <w:pPr>
        <w:jc w:val="center"/>
      </w:pPr>
      <w:r>
        <w:rPr>
          <w:rFonts w:cs="Times New Roman"/>
        </w:rPr>
        <w:t>Monishka Battula, Parth Mangal,</w:t>
      </w:r>
      <w:r>
        <w:rPr>
          <w:rFonts w:cs="Times New Roman"/>
        </w:rPr>
        <w:t xml:space="preserve"> Omkar Shinde, Sonali Chikhale, Shovonlal Bhowmick, Saikh Mohammad Wabaidur and Md Ataul Islam</w:t>
      </w:r>
    </w:p>
    <w:p w:rsidR="00833CD8" w:rsidRDefault="00833CD8"/>
    <w:p w:rsidR="00833CD8" w:rsidRDefault="00A43542">
      <w:pPr>
        <w:pStyle w:val="Heading1"/>
        <w:keepNext/>
      </w:pPr>
      <w:r>
        <w:t>Contents</w:t>
      </w:r>
    </w:p>
    <w:p w:rsidR="00833CD8" w:rsidRDefault="00A43542">
      <w:r>
        <w:rPr>
          <w:rFonts w:cs="Times New Roman"/>
        </w:rPr>
        <w:t>S1 Module inventory, versions and licenses (Table S1)</w:t>
      </w:r>
    </w:p>
    <w:p w:rsidR="00833CD8" w:rsidRDefault="00A43542">
      <w:r>
        <w:rPr>
          <w:rFonts w:cs="Times New Roman"/>
        </w:rPr>
        <w:t>S2 Platform implementation notes</w:t>
      </w:r>
    </w:p>
    <w:p w:rsidR="00833CD8" w:rsidRDefault="00A43542">
      <w:r>
        <w:rPr>
          <w:rFonts w:cs="Times New Roman"/>
        </w:rPr>
        <w:t>S3 Case-study data, settings and results (Tables S2 to S9, Figs. S1 to S5)</w:t>
      </w:r>
    </w:p>
    <w:p w:rsidR="00833CD8" w:rsidRDefault="00A43542">
      <w:r>
        <w:rPr>
          <w:rFonts w:cs="Times New Roman"/>
        </w:rPr>
        <w:t>S4</w:t>
      </w:r>
      <w:r>
        <w:rPr>
          <w:rFonts w:cs="Times New Roman"/>
        </w:rPr>
        <w:t xml:space="preserve"> Independent reproduction of the differential expression result</w:t>
      </w:r>
    </w:p>
    <w:p w:rsidR="00833CD8" w:rsidRDefault="00A43542">
      <w:r>
        <w:rPr>
          <w:rFonts w:cs="Times New Roman"/>
        </w:rPr>
        <w:t>S5 Pseudocode of the pipeline driver (Algorithms 1 and 2)</w:t>
      </w:r>
    </w:p>
    <w:p w:rsidR="00833CD8" w:rsidRDefault="00A43542">
      <w:r>
        <w:rPr>
          <w:rFonts w:cs="Times New Roman"/>
        </w:rPr>
        <w:t>S6 Supplementary Data S1 to S3</w:t>
      </w:r>
    </w:p>
    <w:p w:rsidR="00833CD8" w:rsidRDefault="00A43542">
      <w:r>
        <w:rPr>
          <w:rFonts w:cs="Times New Roman"/>
        </w:rPr>
        <w:t>References</w:t>
      </w:r>
    </w:p>
    <w:p w:rsidR="00833CD8" w:rsidRDefault="00833CD8"/>
    <w:p w:rsidR="00833CD8" w:rsidRDefault="00A43542">
      <w:pPr>
        <w:pStyle w:val="Heading1"/>
        <w:keepNext/>
      </w:pPr>
      <w:r>
        <w:t>S1 Module inventory, versions and licenses</w:t>
      </w:r>
    </w:p>
    <w:p w:rsidR="00833CD8" w:rsidRDefault="00A43542">
      <w:pPr>
        <w:jc w:val="both"/>
      </w:pPr>
      <w:r>
        <w:rPr>
          <w:rFonts w:cs="Times New Roman"/>
        </w:rPr>
        <w:t>Table S1 lists every third-party engine and exte</w:t>
      </w:r>
      <w:r>
        <w:rPr>
          <w:rFonts w:cs="Times New Roman"/>
        </w:rPr>
        <w:t xml:space="preserve">rnal resource that the RNA-seq workflow calls, with the version used in the case study, the license under which it is distributed and the publication to cite. Each engine runs unmodified, under its original license, on the platform's cloud infrastructure, </w:t>
      </w:r>
      <w:r>
        <w:rPr>
          <w:rFonts w:cs="Times New Roman"/>
        </w:rPr>
        <w:t>and users receive the outputs of their own jobs, not the software itself. Licenses were taken from the repository or package record of each project. Web services are called under the terms of their providers. The gene set library used for enrichment is der</w:t>
      </w:r>
      <w:r>
        <w:rPr>
          <w:rFonts w:cs="Times New Roman"/>
        </w:rPr>
        <w:t>ived from the Gene Ontology, whose data are distributed under the Creative Commons Attribution 4.0 license [1].</w:t>
      </w:r>
    </w:p>
    <w:p w:rsidR="00833CD8" w:rsidRDefault="00833CD8"/>
    <w:p w:rsidR="00833CD8" w:rsidRDefault="00A43542">
      <w:pPr>
        <w:keepNext/>
        <w:jc w:val="both"/>
      </w:pPr>
      <w:r>
        <w:rPr>
          <w:rFonts w:cs="Times New Roman"/>
          <w:b/>
          <w:bCs/>
          <w:sz w:val="22"/>
          <w:szCs w:val="22"/>
        </w:rPr>
        <w:lastRenderedPageBreak/>
        <w:t>Table S1.</w:t>
      </w:r>
      <w:r>
        <w:rPr>
          <w:rFonts w:cs="Times New Roman"/>
          <w:sz w:val="22"/>
          <w:szCs w:val="22"/>
        </w:rPr>
        <w:t xml:space="preserve"> Third-party engines and resources called by the OmicsXplore RNA-seq workflow, with the versions used in the case study, their license</w:t>
      </w:r>
      <w:r>
        <w:rPr>
          <w:rFonts w:cs="Times New Roman"/>
          <w:sz w:val="22"/>
          <w:szCs w:val="22"/>
        </w:rPr>
        <w:t>s and the references to cite. Module numbers follow Table 2 of the main article. n.r., version not reported.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2"/>
        <w:gridCol w:w="2358"/>
        <w:gridCol w:w="1010"/>
        <w:gridCol w:w="2088"/>
        <w:gridCol w:w="2088"/>
      </w:tblGrid>
      <w:tr w:rsidR="00833CD8">
        <w:tblPrEx>
          <w:tblCellMar>
            <w:top w:w="0" w:type="dxa"/>
            <w:bottom w:w="0" w:type="dxa"/>
          </w:tblCellMar>
        </w:tblPrEx>
        <w:trPr>
          <w:cantSplit/>
          <w:tblHeader/>
        </w:trPr>
        <w:tc>
          <w:tcPr>
            <w:tcW w:w="148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Module</w:t>
            </w:r>
          </w:p>
        </w:tc>
        <w:tc>
          <w:tcPr>
            <w:tcW w:w="235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Engine or resource</w:t>
            </w:r>
          </w:p>
        </w:tc>
        <w:tc>
          <w:tcPr>
            <w:tcW w:w="101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Version</w:t>
            </w:r>
          </w:p>
        </w:tc>
        <w:tc>
          <w:tcPr>
            <w:tcW w:w="208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License or terms</w:t>
            </w:r>
          </w:p>
        </w:tc>
        <w:tc>
          <w:tcPr>
            <w:tcW w:w="208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Reference</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 Upload</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SRA Toolkit, fasterq-dump</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3.0.3</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Public domain (United States Government work)</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 and 4, Pre-trim QC and Post-trim QC</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FastQC</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0.12.1</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GPL-3.0</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 and 4</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MultiQC</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1.35</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GPL-3.0</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 Trimming</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Trimmomatic, with the TruSeq2 paired-end adapter file</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0.39</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GPL-3.0. Illumina adapter sequences remain the property of Illumina and are distributed with Trimmomatic by permission</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 Alignment</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STAR</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2.7.11b</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MIT</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UCSC hg38 genome (hg38.fa) and knownG</w:t>
            </w:r>
            <w:r>
              <w:rPr>
                <w:rFonts w:cs="Times New Roman"/>
                <w:sz w:val="15"/>
                <w:szCs w:val="15"/>
              </w:rPr>
              <w:t>ene annotation (hg38.knownGene.gtf)</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hg38</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Free to use under the UCSC data terms</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[7]</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 Pre-quantification</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SAMtools</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1.22.1</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MIT/Expat</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[8,9]</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7 Quantification</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HTSeq-count</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2.0.5</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GPL-3.0</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[10,11]</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7</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featureCounts (Subread), offered as an alternative and not used in the case study</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2.0.6</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GPL-3.0</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[12]</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 Annotation</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g:Profiler g:Convert</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Web service</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Terms of the provider</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[13]</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 DEG analysis</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PyDESeq2</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0.5.4</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MIT</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[14,15]</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MyGene.info</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Web service</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Terms of the provider</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[16]</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GSEApy</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1.3.1</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BSD-3-Clause</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[17]</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Enrichr, with the GO_Biological_Process_2023 library</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Web service, 2023 library</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Terms of the provider. Gene Ontology data CC BY 4.0</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[1,18–21]</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scikit-learn, SciPy, pandas and seaborn</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n.r.</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BSD-3-Clause</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[22–25]</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matplotlib</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n.r.</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Matplotlib license, based on the PSF license</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[26]</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 Gene Splicing</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splicekit</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0.8.1</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GPL-3.0</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[27]</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edgeR</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n.r.</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GPL (2 or later)</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[28,29]</w:t>
            </w:r>
          </w:p>
        </w:tc>
      </w:tr>
      <w:tr w:rsidR="00833CD8">
        <w:tblPrEx>
          <w:tblCellMar>
            <w:top w:w="0" w:type="dxa"/>
            <w:bottom w:w="0" w:type="dxa"/>
          </w:tblCellMar>
        </w:tblPrEx>
        <w:trPr>
          <w:cantSplit/>
        </w:trPr>
        <w:tc>
          <w:tcPr>
            <w:tcW w:w="14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 and 11</w:t>
            </w:r>
          </w:p>
        </w:tc>
        <w:tc>
          <w:tcPr>
            <w:tcW w:w="235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STAR, re-run with module-specific settings</w:t>
            </w:r>
          </w:p>
        </w:tc>
        <w:tc>
          <w:tcPr>
            <w:tcW w:w="101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2.7.11b</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MIT</w:t>
            </w:r>
          </w:p>
        </w:tc>
        <w:tc>
          <w:tcPr>
            <w:tcW w:w="208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w:t>
            </w:r>
          </w:p>
        </w:tc>
      </w:tr>
      <w:tr w:rsidR="00833CD8">
        <w:tblPrEx>
          <w:tblCellMar>
            <w:top w:w="0" w:type="dxa"/>
            <w:bottom w:w="0" w:type="dxa"/>
          </w:tblCellMar>
        </w:tblPrEx>
        <w:trPr>
          <w:cantSplit/>
        </w:trPr>
        <w:tc>
          <w:tcPr>
            <w:tcW w:w="148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 Gene fusion Detection</w:t>
            </w:r>
          </w:p>
        </w:tc>
        <w:tc>
          <w:tcPr>
            <w:tcW w:w="235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Arriba, with its blacklist, known fusion and protein domain files</w:t>
            </w:r>
          </w:p>
        </w:tc>
        <w:tc>
          <w:tcPr>
            <w:tcW w:w="101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2.5.0</w:t>
            </w:r>
          </w:p>
        </w:tc>
        <w:tc>
          <w:tcPr>
            <w:tcW w:w="208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MIT. The draw_fusions.R plotting script is GPL-3.0</w:t>
            </w:r>
          </w:p>
        </w:tc>
        <w:tc>
          <w:tcPr>
            <w:tcW w:w="208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w:t>
            </w:r>
          </w:p>
        </w:tc>
      </w:tr>
    </w:tbl>
    <w:p w:rsidR="00833CD8" w:rsidRDefault="00833CD8"/>
    <w:p w:rsidR="00833CD8" w:rsidRDefault="00A43542">
      <w:pPr>
        <w:pStyle w:val="Heading1"/>
        <w:keepNext/>
      </w:pPr>
      <w:r>
        <w:t>S2 Platform implementation notes</w:t>
      </w:r>
    </w:p>
    <w:p w:rsidR="00833CD8" w:rsidRDefault="00833CD8">
      <w:pPr>
        <w:keepNext/>
      </w:pPr>
    </w:p>
    <w:p w:rsidR="00833CD8" w:rsidRDefault="00A43542">
      <w:pPr>
        <w:pStyle w:val="Heading2"/>
        <w:keepNext/>
      </w:pPr>
      <w:r>
        <w:t>S2.1 Architecture</w:t>
      </w:r>
    </w:p>
    <w:p w:rsidR="00833CD8" w:rsidRDefault="00A43542">
      <w:pPr>
        <w:jc w:val="both"/>
      </w:pPr>
      <w:r>
        <w:rPr>
          <w:rFonts w:cs="Times New Roman"/>
        </w:rPr>
        <w:t>OmicsXplore has a client and server design that follows SilicoXplore [31]. The backend is written in Python 3 with the Flask framework and exposes</w:t>
      </w:r>
      <w:r>
        <w:rPr>
          <w:rFonts w:cs="Times New Roman"/>
        </w:rPr>
        <w:t xml:space="preserve"> a REST interface for job submission, status queries, result retrieval and file management. Each analysis module is registered as a backend service that declares its input schema, validation rules, default parameters and the engine it wraps, and the browse</w:t>
      </w:r>
      <w:r>
        <w:rPr>
          <w:rFonts w:cs="Times New Roman"/>
        </w:rPr>
        <w:t>r form of the module is generated from this declaration. The frontend is a single-page application written in React with TypeScript. Inputs are checked against the declaration before a job is queued. A malformed accession list, a missing file or a metadata</w:t>
      </w:r>
      <w:r>
        <w:rPr>
          <w:rFonts w:cs="Times New Roman"/>
        </w:rPr>
        <w:t xml:space="preserve"> table whose sample names do not match the count matrix is therefore reported at submission and costs no compute time.</w:t>
      </w:r>
    </w:p>
    <w:p w:rsidR="00833CD8" w:rsidRDefault="00833CD8"/>
    <w:p w:rsidR="00833CD8" w:rsidRDefault="00A43542">
      <w:pPr>
        <w:pStyle w:val="Heading2"/>
        <w:keepNext/>
      </w:pPr>
      <w:r>
        <w:t>S2.2 Job execution</w:t>
      </w:r>
    </w:p>
    <w:p w:rsidR="00833CD8" w:rsidRDefault="00A43542">
      <w:pPr>
        <w:jc w:val="both"/>
      </w:pPr>
      <w:r>
        <w:rPr>
          <w:rFonts w:cs="Times New Roman"/>
        </w:rPr>
        <w:t>Jobs are queued and dispatched by a scheduler developed in house. The scheduler records the state of every stage of e</w:t>
      </w:r>
      <w:r>
        <w:rPr>
          <w:rFonts w:cs="Times New Roman"/>
        </w:rPr>
        <w:t>very job in a database and starts a stage when processor cores become free. Each process receives a bounded thread pool for numerical libraries such as BLAS, OpenMP and joblib, so concurrent jobs do not oversubscribe a server. Every stage reads its input f</w:t>
      </w:r>
      <w:r>
        <w:rPr>
          <w:rFonts w:cs="Times New Roman"/>
        </w:rPr>
        <w:t>rom, and writes its output to, one directory identified by the job identifier. A partial run can therefore resume from the last completed stage. A stage started from the interface and the same stage run by the pipeline driver call the same service function</w:t>
      </w:r>
      <w:r>
        <w:rPr>
          <w:rFonts w:cs="Times New Roman"/>
        </w:rPr>
        <w:t xml:space="preserve"> with the same arguments (Section S5). Third-party engines run in versioned software environments on the infrastructure of a commercial cloud provider, and the engine versions recorded with a job are those of the environment in which it ran.</w:t>
      </w:r>
    </w:p>
    <w:p w:rsidR="00833CD8" w:rsidRDefault="00833CD8"/>
    <w:p w:rsidR="00833CD8" w:rsidRDefault="00A43542">
      <w:pPr>
        <w:pStyle w:val="Heading2"/>
        <w:keepNext/>
      </w:pPr>
      <w:r>
        <w:t>S2.3 Storage and access</w:t>
      </w:r>
    </w:p>
    <w:p w:rsidR="00833CD8" w:rsidRDefault="00A43542">
      <w:pPr>
        <w:jc w:val="both"/>
      </w:pPr>
      <w:r>
        <w:rPr>
          <w:rFonts w:cs="Times New Roman"/>
        </w:rPr>
        <w:t>Uploaded reads, downloaded runs, intermediate files, logs and results are kept in the project workspace in server-side storage. Users can open only the projects created under their own login. Files remain available for download from</w:t>
      </w:r>
      <w:r>
        <w:rPr>
          <w:rFonts w:cs="Times New Roman"/>
        </w:rPr>
        <w:t xml:space="preserve"> the result pages, and the output of one module can be selected as the input of the next without being downloaded.</w:t>
      </w:r>
    </w:p>
    <w:p w:rsidR="00833CD8" w:rsidRDefault="00833CD8"/>
    <w:p w:rsidR="00833CD8" w:rsidRDefault="00A43542">
      <w:pPr>
        <w:pStyle w:val="Heading2"/>
        <w:keepNext/>
      </w:pPr>
      <w:r>
        <w:t>S2.4 The job record</w:t>
      </w:r>
    </w:p>
    <w:p w:rsidR="00833CD8" w:rsidRDefault="00A43542">
      <w:pPr>
        <w:jc w:val="both"/>
      </w:pPr>
      <w:r>
        <w:rPr>
          <w:rFonts w:cs="Times New Roman"/>
        </w:rPr>
        <w:t>Every job keeps a record with the job identifier, the input datasets, the complete parameter set as submitted, the engin</w:t>
      </w:r>
      <w:r>
        <w:rPr>
          <w:rFonts w:cs="Times New Roman"/>
        </w:rPr>
        <w:t>e versions, the start time, the status and run time of each stage, the logs and the output files. The pipeline driver also writes a run report in JSON format that lists each stage with its outcome and a short summary (Algorithm 1). The summary gives values</w:t>
      </w:r>
      <w:r>
        <w:rPr>
          <w:rFonts w:cs="Times New Roman"/>
        </w:rPr>
        <w:t xml:space="preserve"> such as the number of samples processed, the alignment rate or the number of significant features. The parameter set appears on the result page exactly as it was submitted. The settings reported in Section 2.4 of the main article and in Table S4 were read</w:t>
      </w:r>
      <w:r>
        <w:rPr>
          <w:rFonts w:cs="Times New Roman"/>
        </w:rPr>
        <w:t xml:space="preserve"> from these records.</w:t>
      </w:r>
    </w:p>
    <w:p w:rsidR="00833CD8" w:rsidRDefault="00833CD8"/>
    <w:p w:rsidR="00833CD8" w:rsidRDefault="00A43542">
      <w:pPr>
        <w:pStyle w:val="Heading2"/>
        <w:keepNext/>
      </w:pPr>
      <w:r>
        <w:t>S2.5 Result presentation</w:t>
      </w:r>
    </w:p>
    <w:p w:rsidR="00833CD8" w:rsidRDefault="00A43542">
      <w:pPr>
        <w:jc w:val="both"/>
      </w:pPr>
      <w:r>
        <w:rPr>
          <w:rFonts w:cs="Times New Roman"/>
        </w:rPr>
        <w:t>Each module returns summary tables and plots on its result page, together with links to the raw outputs. The quality control modules return an aggregated MultiQC report. The DEG analysis module returns the ful</w:t>
      </w:r>
      <w:r>
        <w:rPr>
          <w:rFonts w:cs="Times New Roman"/>
        </w:rPr>
        <w:t>l and filtered result tables, separate lists of features with positive and negative fold changes, the PCA, volcano, MA and clustered heatmap plots, and the enrichment tables and plots. The Gene Splicing module returns the splicekit HTML report with its tab</w:t>
      </w:r>
      <w:r>
        <w:rPr>
          <w:rFonts w:cs="Times New Roman"/>
        </w:rPr>
        <w:t xml:space="preserve">les. </w:t>
      </w:r>
      <w:r>
        <w:rPr>
          <w:rFonts w:cs="Times New Roman"/>
        </w:rPr>
        <w:lastRenderedPageBreak/>
        <w:t>The Gene fusion Detection module returns the Arriba fusion table, the discarded candidates and one PDF of visualizations per sample.</w:t>
      </w:r>
    </w:p>
    <w:p w:rsidR="00833CD8" w:rsidRDefault="00833CD8"/>
    <w:p w:rsidR="00833CD8" w:rsidRDefault="00A43542">
      <w:pPr>
        <w:pStyle w:val="Heading2"/>
        <w:keepNext/>
      </w:pPr>
      <w:r>
        <w:t>S2.6 Design for users without command-line experience</w:t>
      </w:r>
    </w:p>
    <w:p w:rsidR="00833CD8" w:rsidRDefault="00A43542">
      <w:pPr>
        <w:jc w:val="both"/>
      </w:pPr>
      <w:r>
        <w:rPr>
          <w:rFonts w:cs="Times New Roman"/>
        </w:rPr>
        <w:t>Five design choices make the workflow usable without programmin</w:t>
      </w:r>
      <w:r>
        <w:rPr>
          <w:rFonts w:cs="Times New Roman"/>
        </w:rPr>
        <w:t xml:space="preserve">g skills. Each module shows only the parameters that matter, with defaults taken from the documentation and published practice of its engine, and settings that are often mis-specified are checked or inferred. The metadata table, for example, is matched to </w:t>
      </w:r>
      <w:r>
        <w:rPr>
          <w:rFonts w:cs="Times New Roman"/>
        </w:rPr>
        <w:t>the count matrix by sample name before the design formula is accepted. Preparation is part of the task, since accession lists are resolved, adapter files are supplied, reference indexes are pre-built and read mates are tracked through trimming. Job orchest</w:t>
      </w:r>
      <w:r>
        <w:rPr>
          <w:rFonts w:cs="Times New Roman"/>
        </w:rPr>
        <w:t>ration stays behind the interface, and results return as summary tables, MultiQC reports and plots, with the raw outputs available for download. Finally, the stored parameter set of each job is the record that a user copies into the methods section of a pa</w:t>
      </w:r>
      <w:r>
        <w:rPr>
          <w:rFonts w:cs="Times New Roman"/>
        </w:rPr>
        <w:t>per.</w:t>
      </w:r>
    </w:p>
    <w:p w:rsidR="00833CD8" w:rsidRDefault="00833CD8"/>
    <w:p w:rsidR="00833CD8" w:rsidRDefault="00A43542">
      <w:pPr>
        <w:pStyle w:val="Heading1"/>
        <w:keepNext/>
      </w:pPr>
      <w:r>
        <w:t>S3 Case-study data, settings and results</w:t>
      </w:r>
    </w:p>
    <w:p w:rsidR="00833CD8" w:rsidRDefault="00833CD8">
      <w:pPr>
        <w:keepNext/>
      </w:pPr>
    </w:p>
    <w:p w:rsidR="00833CD8" w:rsidRDefault="00A43542">
      <w:pPr>
        <w:pStyle w:val="Heading2"/>
        <w:keepNext/>
      </w:pPr>
      <w:r>
        <w:t>S3.1 Samples</w:t>
      </w:r>
    </w:p>
    <w:p w:rsidR="00833CD8" w:rsidRDefault="00A43542">
      <w:pPr>
        <w:jc w:val="both"/>
      </w:pPr>
      <w:r>
        <w:rPr>
          <w:rFonts w:cs="Times New Roman"/>
        </w:rPr>
        <w:t xml:space="preserve">Table S2 lists the 39 runs of GSE92592 analyzed in this study [32,33]. All libraries were prepared from lung tissue without strand selection and sequenced on an Illumina HiSeq 2000 as 2 × 101 bp </w:t>
      </w:r>
      <w:r>
        <w:rPr>
          <w:rFonts w:cs="Times New Roman"/>
        </w:rPr>
        <w:t>read pairs. Group labels were taken from the GEO sample records and entered into the DEG analysis module as the condition column of the metadata table.</w:t>
      </w:r>
    </w:p>
    <w:p w:rsidR="00833CD8" w:rsidRDefault="00833CD8"/>
    <w:p w:rsidR="00833CD8" w:rsidRDefault="00A43542">
      <w:pPr>
        <w:keepNext/>
        <w:jc w:val="both"/>
      </w:pPr>
      <w:r>
        <w:rPr>
          <w:rFonts w:cs="Times New Roman"/>
          <w:b/>
          <w:bCs/>
          <w:sz w:val="22"/>
          <w:szCs w:val="22"/>
        </w:rPr>
        <w:lastRenderedPageBreak/>
        <w:t>Table S2.</w:t>
      </w:r>
      <w:r>
        <w:rPr>
          <w:rFonts w:cs="Times New Roman"/>
          <w:sz w:val="22"/>
          <w:szCs w:val="22"/>
        </w:rPr>
        <w:t xml:space="preserve"> Samples of GSE92592 analyzed in the case study. Read pairs are the FastQC sequence counts of </w:t>
      </w:r>
      <w:r>
        <w:rPr>
          <w:rFonts w:cs="Times New Roman"/>
          <w:sz w:val="22"/>
          <w:szCs w:val="22"/>
        </w:rPr>
        <w:t>the forward files, and bases are taken from the SRA run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2"/>
        <w:gridCol w:w="1433"/>
        <w:gridCol w:w="1576"/>
        <w:gridCol w:w="1433"/>
        <w:gridCol w:w="1003"/>
        <w:gridCol w:w="1146"/>
        <w:gridCol w:w="1003"/>
      </w:tblGrid>
      <w:tr w:rsidR="00833CD8">
        <w:tblPrEx>
          <w:tblCellMar>
            <w:top w:w="0" w:type="dxa"/>
            <w:bottom w:w="0" w:type="dxa"/>
          </w:tblCellMar>
        </w:tblPrEx>
        <w:trPr>
          <w:cantSplit/>
          <w:tblHeader/>
        </w:trPr>
        <w:tc>
          <w:tcPr>
            <w:tcW w:w="14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Run</w:t>
            </w:r>
          </w:p>
        </w:tc>
        <w:tc>
          <w:tcPr>
            <w:tcW w:w="14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GEO sample</w:t>
            </w:r>
          </w:p>
        </w:tc>
        <w:tc>
          <w:tcPr>
            <w:tcW w:w="15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BioSample</w:t>
            </w:r>
          </w:p>
        </w:tc>
        <w:tc>
          <w:tcPr>
            <w:tcW w:w="143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SRA experiment</w:t>
            </w:r>
          </w:p>
        </w:tc>
        <w:tc>
          <w:tcPr>
            <w:tcW w:w="100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Group</w:t>
            </w:r>
          </w:p>
        </w:tc>
        <w:tc>
          <w:tcPr>
            <w:tcW w:w="114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Read pairs (million)</w:t>
            </w:r>
          </w:p>
        </w:tc>
        <w:tc>
          <w:tcPr>
            <w:tcW w:w="100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Bases (billion)</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SRR5120902</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GSM2433098</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SRX2436128</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60.16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12.15</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SRR5120903</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GSM2433099</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SRX2436129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53.19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10.74</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GSM2433100</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SRX2436130</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33.10</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6.69</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GSM2433101</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SRX2436131</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49.80</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10.06</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GSM2433102</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SRX2436132</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60.36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12.19</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GSM2433103</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34.69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7.01</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GSM2433104</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SAMN06165913</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42.94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8.67</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SRR5120909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GSM2433105</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SAMN06165912</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SRX2436135</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45.67</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9.23</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SRR5120910</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GSM2433106</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SAMN06165911</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54.46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11.00</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SRR5120911</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GSM2433107</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SAMN06165910</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SRX2436137</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57.04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11.52</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SRR5120912</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GSM2433108</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SRX2436138</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48.15</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9.73</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SRR5120913</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GSM2433109</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SRX2436139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39.52</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7.98</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GSM2433110</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SRX2436140</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43.91</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8.87</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GSM2433111</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SRX2436141</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42.69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8.62</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GSM2433112</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SRX2436142</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47.84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9.66</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GSM2433113</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62.52</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12.63</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GSM2433114</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SAMN06165903</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45.27</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9.14</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SRR5120919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GSM2433115</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SAMN06165902</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SRX2436145</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47.96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9.69</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SRR5120920</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GSM2433116</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SAMN06165901</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44.18</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8.92</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SRR5120921</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GSM2433117</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SAMN06165900</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SRX2436147</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IPF</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53.41</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10.79</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SRR5120922</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GSM2433118</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SAMN06165899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SRX2436148</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27.49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5.55</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SRR5120923</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GSM2433119</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SAMN06165898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SRX2436149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53.33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10.77</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GSM2433120</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SAMN06165897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SRX2436150</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52.40</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10.59</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GSM2433121</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SRX2436151</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47.64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9.62</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GSM2433122</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SRX2436152</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68.34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13.80</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GSM2433123</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41.63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8.41</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GSM2433124</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48.22</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9.74</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SRR5120929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GSM2433125</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SRX2436155</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43.93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8.87</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SRR5120930</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GSM2433126</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SAMN06165943</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52.89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10.68</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SRR5120931</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GSM2433127</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SAMN06165942</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SRX2436157</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44.99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9.09</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SRR5120932</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GSM2433128</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SAMN06165941</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SRX2436158</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41.96</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8.48</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SRR5120933</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GSM2433129</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SAMN06165940</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SRX2436159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53.63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10.83</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GSM2433130</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SAMN06165939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SRX2436160</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48.91</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9.88</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GSM2433131</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SAMN06165938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SRX2436161</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37.29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7.53</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GSM2433132</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SAMN06165937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SRX2436162</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52.69</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10.64</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SRR5120937</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GSM2433133</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SAMN06165936</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SRX2436163</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49.75</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10.05</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SRR5120938</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GSM2433134</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SAMN06165935</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SRX2436164</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51.68</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10.44</w:t>
            </w:r>
          </w:p>
        </w:tc>
      </w:tr>
      <w:tr w:rsidR="00833CD8">
        <w:tblPrEx>
          <w:tblCellMar>
            <w:top w:w="0" w:type="dxa"/>
            <w:bottom w:w="0" w:type="dxa"/>
          </w:tblCellMar>
        </w:tblPrEx>
        <w:trPr>
          <w:cantSplit/>
        </w:trPr>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SRR5120939</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GSM2433135</w:t>
            </w:r>
          </w:p>
        </w:tc>
        <w:tc>
          <w:tcPr>
            <w:tcW w:w="15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SAMN06165934</w:t>
            </w:r>
          </w:p>
        </w:tc>
        <w:tc>
          <w:tcPr>
            <w:tcW w:w="143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SRX2436165</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Control</w:t>
            </w:r>
          </w:p>
        </w:tc>
        <w:tc>
          <w:tcPr>
            <w:tcW w:w="114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53.05</w:t>
            </w:r>
          </w:p>
        </w:tc>
        <w:tc>
          <w:tcPr>
            <w:tcW w:w="10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10.72</w:t>
            </w:r>
          </w:p>
        </w:tc>
      </w:tr>
      <w:tr w:rsidR="00833CD8">
        <w:tblPrEx>
          <w:tblCellMar>
            <w:top w:w="0" w:type="dxa"/>
            <w:bottom w:w="0" w:type="dxa"/>
          </w:tblCellMar>
        </w:tblPrEx>
        <w:trPr>
          <w:cantSplit/>
        </w:trPr>
        <w:tc>
          <w:tcPr>
            <w:tcW w:w="143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SRR5120940</w:t>
            </w:r>
          </w:p>
        </w:tc>
        <w:tc>
          <w:tcPr>
            <w:tcW w:w="143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GSM2433136</w:t>
            </w:r>
          </w:p>
        </w:tc>
        <w:tc>
          <w:tcPr>
            <w:tcW w:w="157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SAMN06165933</w:t>
            </w:r>
          </w:p>
        </w:tc>
        <w:tc>
          <w:tcPr>
            <w:tcW w:w="143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SRX2436166</w:t>
            </w:r>
          </w:p>
        </w:tc>
        <w:tc>
          <w:tcPr>
            <w:tcW w:w="100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Control</w:t>
            </w:r>
          </w:p>
        </w:tc>
        <w:tc>
          <w:tcPr>
            <w:tcW w:w="114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46.95</w:t>
            </w:r>
          </w:p>
        </w:tc>
        <w:tc>
          <w:tcPr>
            <w:tcW w:w="100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9.48</w:t>
            </w:r>
          </w:p>
        </w:tc>
      </w:tr>
    </w:tbl>
    <w:p w:rsidR="00833CD8" w:rsidRDefault="00833CD8"/>
    <w:p w:rsidR="00833CD8" w:rsidRDefault="00A43542">
      <w:pPr>
        <w:pStyle w:val="Heading2"/>
        <w:keepNext/>
      </w:pPr>
      <w:r>
        <w:t>S3.2 Per-sample metrics</w:t>
      </w:r>
    </w:p>
    <w:p w:rsidR="00833CD8" w:rsidRDefault="00A43542">
      <w:pPr>
        <w:jc w:val="both"/>
      </w:pPr>
      <w:r>
        <w:rPr>
          <w:rFonts w:cs="Times New Roman"/>
        </w:rPr>
        <w:t>Tables S3a to S3d give the per-sample values summarized in Table 3 of the main article. Read-level values come from the MultiQC reports of the Pre-trim QC and Post-trim QC modules. Trimming and alignment values come from the MultiQC</w:t>
      </w:r>
      <w:r>
        <w:rPr>
          <w:rFonts w:cs="Times New Roman"/>
        </w:rPr>
        <w:t xml:space="preserve"> report of the full pipeline, alignment processing values from the SAMtools flagstat table and quantification values from the HTSeq-count statistics exported by the platform. Mean quality is the mean of the FastQC quality scores along the read, averaged ov</w:t>
      </w:r>
      <w:r>
        <w:rPr>
          <w:rFonts w:cs="Times New Roman"/>
        </w:rPr>
        <w:t>er the two files of each sample.</w:t>
      </w:r>
    </w:p>
    <w:p w:rsidR="00833CD8" w:rsidRDefault="00833CD8"/>
    <w:p w:rsidR="00833CD8" w:rsidRDefault="00A43542">
      <w:pPr>
        <w:keepNext/>
        <w:jc w:val="both"/>
      </w:pPr>
      <w:r>
        <w:rPr>
          <w:rFonts w:cs="Times New Roman"/>
          <w:b/>
          <w:bCs/>
          <w:sz w:val="22"/>
          <w:szCs w:val="22"/>
        </w:rPr>
        <w:lastRenderedPageBreak/>
        <w:t>Table S3a.</w:t>
      </w:r>
      <w:r>
        <w:rPr>
          <w:rFonts w:cs="Times New Roman"/>
          <w:sz w:val="22"/>
          <w:szCs w:val="22"/>
        </w:rPr>
        <w:t xml:space="preserve"> Raw read quality and trimming outcome per sample. GC content and duplication refer to the forward reads. Adapter is the highest adapter content at any position in either file. Trimming outcomes are shares of input read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3"/>
        <w:gridCol w:w="722"/>
        <w:gridCol w:w="722"/>
        <w:gridCol w:w="542"/>
        <w:gridCol w:w="963"/>
        <w:gridCol w:w="662"/>
        <w:gridCol w:w="722"/>
        <w:gridCol w:w="722"/>
        <w:gridCol w:w="722"/>
        <w:gridCol w:w="722"/>
        <w:gridCol w:w="722"/>
        <w:gridCol w:w="722"/>
      </w:tblGrid>
      <w:tr w:rsidR="00833CD8">
        <w:tblPrEx>
          <w:tblCellMar>
            <w:top w:w="0" w:type="dxa"/>
            <w:bottom w:w="0" w:type="dxa"/>
          </w:tblCellMar>
        </w:tblPrEx>
        <w:trPr>
          <w:cantSplit/>
          <w:tblHeader/>
        </w:trPr>
        <w:tc>
          <w:tcPr>
            <w:tcW w:w="108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Run</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Group</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Read pairs (M)</w:t>
            </w:r>
          </w:p>
        </w:tc>
        <w:tc>
          <w:tcPr>
            <w:tcW w:w="54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GC (</w:t>
            </w:r>
            <w:r>
              <w:rPr>
                <w:rFonts w:cs="Times New Roman"/>
                <w:b/>
                <w:bCs/>
                <w:sz w:val="14"/>
                <w:szCs w:val="14"/>
              </w:rPr>
              <w:t>%)</w:t>
            </w:r>
          </w:p>
        </w:tc>
        <w:tc>
          <w:tcPr>
            <w:tcW w:w="96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Duplication (%)</w:t>
            </w:r>
          </w:p>
        </w:tc>
        <w:tc>
          <w:tcPr>
            <w:tcW w:w="66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Mean quality</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Adapter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Both mates kept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Forward only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Reverse only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Dropped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Pairs kept (M)</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60.16</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53.42</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53.19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46.84</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33.10</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29.43</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49.80</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43.77</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60.36</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53.22</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34.69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30.75</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42.94</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37.24</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45.67</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39.72</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54.46</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0.56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47.80</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57.04</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49.55</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48.15</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42.28</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39.52</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14.0</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34.43</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43.91</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0.58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39.15</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42.69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38.14</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47.84</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42.08</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62.52</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54.38</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45.27</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16.0</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0.72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38.97</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47.96</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42.29</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44.18</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38.73</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53.41</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47.02</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27.49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24.89</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53.33</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92.0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49.09</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52.40</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0.72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48.46</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47.64</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43.43</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68.34</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0.55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62.76</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41.63</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93.0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38.71</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48.22</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44.08</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43.93</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39.84</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52.89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0.82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48.62</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44.99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41.04</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41.96</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37.87</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53.63</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47.16</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48.91</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0.73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92.9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45.43</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33.93</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52.69</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0.77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48.07</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49.75</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0.75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45.66</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51.68</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0.59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47.16</w:t>
            </w:r>
          </w:p>
        </w:tc>
      </w:tr>
      <w:tr w:rsidR="00833CD8">
        <w:tblPrEx>
          <w:tblCellMar>
            <w:top w:w="0" w:type="dxa"/>
            <w:bottom w:w="0" w:type="dxa"/>
          </w:tblCellMar>
        </w:tblPrEx>
        <w:trPr>
          <w:cantSplit/>
        </w:trPr>
        <w:tc>
          <w:tcPr>
            <w:tcW w:w="10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53.05</w:t>
            </w:r>
          </w:p>
        </w:tc>
        <w:tc>
          <w:tcPr>
            <w:tcW w:w="5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48.34</w:t>
            </w:r>
          </w:p>
        </w:tc>
      </w:tr>
      <w:tr w:rsidR="00833CD8">
        <w:tblPrEx>
          <w:tblCellMar>
            <w:top w:w="0" w:type="dxa"/>
            <w:bottom w:w="0" w:type="dxa"/>
          </w:tblCellMar>
        </w:tblPrEx>
        <w:trPr>
          <w:cantSplit/>
        </w:trPr>
        <w:tc>
          <w:tcPr>
            <w:tcW w:w="108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SRR5120940</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46.95</w:t>
            </w:r>
          </w:p>
        </w:tc>
        <w:tc>
          <w:tcPr>
            <w:tcW w:w="54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49</w:t>
            </w:r>
          </w:p>
        </w:tc>
        <w:tc>
          <w:tcPr>
            <w:tcW w:w="96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16.3</w:t>
            </w:r>
          </w:p>
        </w:tc>
        <w:tc>
          <w:tcPr>
            <w:tcW w:w="66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36.0</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0.53</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92.0</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4.2</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1.9</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1.9</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43.20</w:t>
            </w:r>
          </w:p>
        </w:tc>
      </w:tr>
    </w:tbl>
    <w:p w:rsidR="00833CD8" w:rsidRDefault="00833CD8"/>
    <w:p w:rsidR="00833CD8" w:rsidRDefault="00A43542">
      <w:pPr>
        <w:keepNext/>
        <w:jc w:val="both"/>
      </w:pPr>
      <w:r>
        <w:rPr>
          <w:rFonts w:cs="Times New Roman"/>
          <w:b/>
          <w:bCs/>
          <w:sz w:val="22"/>
          <w:szCs w:val="22"/>
        </w:rPr>
        <w:lastRenderedPageBreak/>
        <w:t>Table S3b.</w:t>
      </w:r>
      <w:r>
        <w:rPr>
          <w:rFonts w:cs="Times New Roman"/>
          <w:sz w:val="22"/>
          <w:szCs w:val="22"/>
        </w:rPr>
        <w:t xml:space="preserve"> Quality of the trimmed reads per sample, from the MultiQC report of the Post-trim QC module. GC content refers to the forward reads, and adapter is the highest adapter content at any position in either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2"/>
        <w:gridCol w:w="742"/>
        <w:gridCol w:w="866"/>
        <w:gridCol w:w="804"/>
        <w:gridCol w:w="804"/>
        <w:gridCol w:w="742"/>
        <w:gridCol w:w="556"/>
        <w:gridCol w:w="989"/>
        <w:gridCol w:w="989"/>
        <w:gridCol w:w="680"/>
        <w:gridCol w:w="742"/>
      </w:tblGrid>
      <w:tr w:rsidR="00833CD8">
        <w:tblPrEx>
          <w:tblCellMar>
            <w:top w:w="0" w:type="dxa"/>
            <w:bottom w:w="0" w:type="dxa"/>
          </w:tblCellMar>
        </w:tblPrEx>
        <w:trPr>
          <w:cantSplit/>
          <w:tblHeader/>
        </w:trPr>
        <w:tc>
          <w:tcPr>
            <w:tcW w:w="111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Run</w:t>
            </w:r>
          </w:p>
        </w:tc>
        <w:tc>
          <w:tcPr>
            <w:tcW w:w="74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Group</w:t>
            </w:r>
          </w:p>
        </w:tc>
        <w:tc>
          <w:tcPr>
            <w:tcW w:w="86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Sequences per file (M)</w:t>
            </w:r>
          </w:p>
        </w:tc>
        <w:tc>
          <w:tcPr>
            <w:tcW w:w="80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Mean length R1 (bp)</w:t>
            </w:r>
          </w:p>
        </w:tc>
        <w:tc>
          <w:tcPr>
            <w:tcW w:w="80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Mean length R2 (bp)</w:t>
            </w:r>
          </w:p>
        </w:tc>
        <w:tc>
          <w:tcPr>
            <w:tcW w:w="74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Full 101 bp, R1 (%)</w:t>
            </w:r>
          </w:p>
        </w:tc>
        <w:tc>
          <w:tcPr>
            <w:tcW w:w="55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GC (%)</w:t>
            </w:r>
          </w:p>
        </w:tc>
        <w:tc>
          <w:tcPr>
            <w:tcW w:w="98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Duplication R1 (%)</w:t>
            </w:r>
          </w:p>
        </w:tc>
        <w:tc>
          <w:tcPr>
            <w:tcW w:w="98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Duplication R2 (%)</w:t>
            </w:r>
          </w:p>
        </w:tc>
        <w:tc>
          <w:tcPr>
            <w:tcW w:w="68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Mean quality</w:t>
            </w:r>
          </w:p>
        </w:tc>
        <w:tc>
          <w:tcPr>
            <w:tcW w:w="74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Adapter (%)</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53.42</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88.4</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0.21</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46.84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88.0</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16.2</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16.3</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0.22</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29.43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88.3</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12.8</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0.24</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43.77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88.0</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16.2</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0.24</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53.22</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87.2</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18.2</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18.1</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0.26</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30.75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87.2</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14.2</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14.2</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0.25</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SRR5120908</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87.4</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16.1</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0.26</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SRR5120909</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39.72</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87.4</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15.5</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15.5</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0.35</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SRR5120910</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47.80</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16.5</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0.23</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49.55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86.0</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11.6</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0.18</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42.28</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15.1</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15.1</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0.19</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34.43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87.3</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0.21</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39.15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88.5</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0.27</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38.14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99.0</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16.4</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36.8</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0.35</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42.08</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87.8</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15.3</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15.3</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0.23</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54.38</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86.8</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18.3</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0.22</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SRR5120918</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38.97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87.0</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15.2</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15.4</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0.22</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SRR5120919</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42.29</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86.5</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14.4</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14.4</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0.20</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SRR5120920</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38.73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86.4</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12.7</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0.24</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47.02</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17.2</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0.23</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24.89</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99.1</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15.1</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0.61</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49.09</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87.8</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21.1</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21.4</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0.63</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48.46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87.8</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16.3</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16.9</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0.42</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43.43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88.8</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21.4</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21.7</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0.59</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62.76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86.8</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19.3</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0.32</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38.71</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88.0</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16.0</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0.37</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SRR5120928</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44.08</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86.7</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17.3</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0.28</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SRR5120929</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39.84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85.8</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17.5</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0.40</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SRR5120930</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48.62</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86.5</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17.3</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17.2</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0.26</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41.04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99.2</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16.2</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15.9</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37.0</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0.34</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37.87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26.3</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26.6</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0.74</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47.16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87.9</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16.6</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16.8</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0.25</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45.43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88.0</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18.1</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0.42</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SRR5120935</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33.93</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99.2</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90.4</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14.0</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13.7</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36.9</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0.26</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SRR5120936</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48.07</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86.4</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16.1</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0.45</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SRR5120937</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45.66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99.4</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87.0</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18.7</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19.2</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0.44</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SRR5120938</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47.16</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99.3</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86.6</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16.1</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16.7</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0.34</w:t>
            </w:r>
          </w:p>
        </w:tc>
      </w:tr>
      <w:tr w:rsidR="00833CD8">
        <w:tblPrEx>
          <w:tblCellMar>
            <w:top w:w="0" w:type="dxa"/>
            <w:bottom w:w="0" w:type="dxa"/>
          </w:tblCellMar>
        </w:tblPrEx>
        <w:trPr>
          <w:cantSplit/>
        </w:trPr>
        <w:tc>
          <w:tcPr>
            <w:tcW w:w="11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SRR5120939</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6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48.34</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99.5</w:t>
            </w:r>
          </w:p>
        </w:tc>
        <w:tc>
          <w:tcPr>
            <w:tcW w:w="80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99.2</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86.2</w:t>
            </w:r>
          </w:p>
        </w:tc>
        <w:tc>
          <w:tcPr>
            <w:tcW w:w="55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17.9</w:t>
            </w:r>
          </w:p>
        </w:tc>
        <w:tc>
          <w:tcPr>
            <w:tcW w:w="9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18.2</w:t>
            </w:r>
          </w:p>
        </w:tc>
        <w:tc>
          <w:tcPr>
            <w:tcW w:w="6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37.1</w:t>
            </w:r>
          </w:p>
        </w:tc>
        <w:tc>
          <w:tcPr>
            <w:tcW w:w="74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0.28</w:t>
            </w:r>
          </w:p>
        </w:tc>
      </w:tr>
      <w:tr w:rsidR="00833CD8">
        <w:tblPrEx>
          <w:tblCellMar>
            <w:top w:w="0" w:type="dxa"/>
            <w:bottom w:w="0" w:type="dxa"/>
          </w:tblCellMar>
        </w:tblPrEx>
        <w:trPr>
          <w:cantSplit/>
        </w:trPr>
        <w:tc>
          <w:tcPr>
            <w:tcW w:w="111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SRR5120940</w:t>
            </w:r>
          </w:p>
        </w:tc>
        <w:tc>
          <w:tcPr>
            <w:tcW w:w="74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86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43.20</w:t>
            </w:r>
          </w:p>
        </w:tc>
        <w:tc>
          <w:tcPr>
            <w:tcW w:w="80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99.5</w:t>
            </w:r>
          </w:p>
        </w:tc>
        <w:tc>
          <w:tcPr>
            <w:tcW w:w="80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99.4</w:t>
            </w:r>
          </w:p>
        </w:tc>
        <w:tc>
          <w:tcPr>
            <w:tcW w:w="74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86.8</w:t>
            </w:r>
          </w:p>
        </w:tc>
        <w:tc>
          <w:tcPr>
            <w:tcW w:w="55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48</w:t>
            </w:r>
          </w:p>
        </w:tc>
        <w:tc>
          <w:tcPr>
            <w:tcW w:w="98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16.6</w:t>
            </w:r>
          </w:p>
        </w:tc>
        <w:tc>
          <w:tcPr>
            <w:tcW w:w="98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16.9</w:t>
            </w:r>
          </w:p>
        </w:tc>
        <w:tc>
          <w:tcPr>
            <w:tcW w:w="6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37.3</w:t>
            </w:r>
          </w:p>
        </w:tc>
        <w:tc>
          <w:tcPr>
            <w:tcW w:w="74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0.31</w:t>
            </w:r>
          </w:p>
        </w:tc>
      </w:tr>
    </w:tbl>
    <w:p w:rsidR="00833CD8" w:rsidRDefault="00833CD8"/>
    <w:p w:rsidR="00833CD8" w:rsidRDefault="00A43542">
      <w:pPr>
        <w:keepNext/>
        <w:jc w:val="both"/>
      </w:pPr>
      <w:r>
        <w:rPr>
          <w:rFonts w:cs="Times New Roman"/>
          <w:b/>
          <w:bCs/>
          <w:sz w:val="22"/>
          <w:szCs w:val="22"/>
        </w:rPr>
        <w:lastRenderedPageBreak/>
        <w:t>Table S3c.</w:t>
      </w:r>
      <w:r>
        <w:rPr>
          <w:rFonts w:cs="Times New Roman"/>
          <w:sz w:val="22"/>
          <w:szCs w:val="22"/>
        </w:rPr>
        <w:t xml:space="preserve"> STAR alignment metrics per sample. Shares are of input read pairs. Splices are the number of spliced reads reported by STAR, and mapped length is the mean length of the aligned pair in bases.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4"/>
        <w:gridCol w:w="782"/>
        <w:gridCol w:w="722"/>
        <w:gridCol w:w="662"/>
        <w:gridCol w:w="662"/>
        <w:gridCol w:w="722"/>
        <w:gridCol w:w="722"/>
        <w:gridCol w:w="662"/>
        <w:gridCol w:w="722"/>
        <w:gridCol w:w="662"/>
        <w:gridCol w:w="782"/>
        <w:gridCol w:w="722"/>
      </w:tblGrid>
      <w:tr w:rsidR="00833CD8">
        <w:tblPrEx>
          <w:tblCellMar>
            <w:top w:w="0" w:type="dxa"/>
            <w:bottom w:w="0" w:type="dxa"/>
          </w:tblCellMar>
        </w:tblPrEx>
        <w:trPr>
          <w:cantSplit/>
          <w:tblHeader/>
        </w:trPr>
        <w:tc>
          <w:tcPr>
            <w:tcW w:w="120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Run</w:t>
            </w:r>
          </w:p>
        </w:tc>
        <w:tc>
          <w:tcPr>
            <w:tcW w:w="78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Group</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Input pairs (M)</w:t>
            </w:r>
          </w:p>
        </w:tc>
        <w:tc>
          <w:tcPr>
            <w:tcW w:w="66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Aligned (%)</w:t>
            </w:r>
          </w:p>
        </w:tc>
        <w:tc>
          <w:tcPr>
            <w:tcW w:w="66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Unique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 xml:space="preserve">Multiple loci </w:t>
            </w:r>
            <w:r>
              <w:rPr>
                <w:rFonts w:cs="Times New Roman"/>
                <w:b/>
                <w:bCs/>
                <w:sz w:val="14"/>
                <w:szCs w:val="14"/>
              </w:rPr>
              <w:t>(%)</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Too many loci (%)</w:t>
            </w:r>
          </w:p>
        </w:tc>
        <w:tc>
          <w:tcPr>
            <w:tcW w:w="66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Too short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Mismatch rate (%)</w:t>
            </w:r>
          </w:p>
        </w:tc>
        <w:tc>
          <w:tcPr>
            <w:tcW w:w="66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Splices (M)</w:t>
            </w:r>
          </w:p>
        </w:tc>
        <w:tc>
          <w:tcPr>
            <w:tcW w:w="78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Annotated splices (%)</w:t>
            </w:r>
          </w:p>
        </w:tc>
        <w:tc>
          <w:tcPr>
            <w:tcW w:w="7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Mapped length</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SRR5120902</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53.42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97.9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70.2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197.3</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SRR5120903</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46.84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98.0</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197.3</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29.43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71.9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10.8</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197.4</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SRR5120905</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43.77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97.7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72.4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197.2</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SRR5120906</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53.22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98.0</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22.6</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197.1</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30.75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97.8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197.2</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SRR5120908</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37.24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80.6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196.9</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39.72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197.1</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47.80</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70.3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18.5</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197.2</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49.55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0.21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196.8</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SRR5120912</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42.28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97.7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197.2</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SRR5120913</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34.43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12.2</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197.2</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13.8</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197.6</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SRR5120915</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81.0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197.7</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SRR5120916</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42.08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197.6</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54.38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97.8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196.7</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SRR5120918</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38.97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97.8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70.3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197.0</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42.29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14.5</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197.1</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38.73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11.8</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197.2</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47.02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97.4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17.5</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197.3</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SRR5120922</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24.89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85.6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198.2</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SRR5120923</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49.09</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198.8</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48.46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85.9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198.8</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SRR5120925</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43.43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13.6</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198.9</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SRR5120926</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62.76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82.4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198.6</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38.71</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199.0</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SRR5120928</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44.08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77.2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198.5</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39.84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81.0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198.3</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48.62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67.4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198.8</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SRR5120931</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198.0</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SRR5120932</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37.87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10.0</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198.8</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SRR5120933</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47.16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76.7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19.3</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197.3</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45.43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199.0</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SRR5120935</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33.93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13.4</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98.8</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198.1</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SRR5120936</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48.07</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98.2</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15.2</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198.4</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SRR5120937</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45.66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98.7</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198.5</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SRR5120938</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47.16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98.3</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83.1</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15.2</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198.4</w:t>
            </w:r>
          </w:p>
        </w:tc>
      </w:tr>
      <w:tr w:rsidR="00833CD8">
        <w:tblPrEx>
          <w:tblCellMar>
            <w:top w:w="0" w:type="dxa"/>
            <w:bottom w:w="0" w:type="dxa"/>
          </w:tblCellMar>
        </w:tblPrEx>
        <w:trPr>
          <w:cantSplit/>
        </w:trPr>
        <w:tc>
          <w:tcPr>
            <w:tcW w:w="12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SRR5120939</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48.34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70.6</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28.0</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0.15</w:t>
            </w:r>
          </w:p>
        </w:tc>
        <w:tc>
          <w:tcPr>
            <w:tcW w:w="66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17.3</w:t>
            </w:r>
          </w:p>
        </w:tc>
        <w:tc>
          <w:tcPr>
            <w:tcW w:w="78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98.9</w:t>
            </w:r>
          </w:p>
        </w:tc>
        <w:tc>
          <w:tcPr>
            <w:tcW w:w="7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198.6</w:t>
            </w:r>
          </w:p>
        </w:tc>
      </w:tr>
      <w:tr w:rsidR="00833CD8">
        <w:tblPrEx>
          <w:tblCellMar>
            <w:top w:w="0" w:type="dxa"/>
            <w:bottom w:w="0" w:type="dxa"/>
          </w:tblCellMar>
        </w:tblPrEx>
        <w:trPr>
          <w:cantSplit/>
        </w:trPr>
        <w:tc>
          <w:tcPr>
            <w:tcW w:w="120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SRR5120940</w:t>
            </w:r>
          </w:p>
        </w:tc>
        <w:tc>
          <w:tcPr>
            <w:tcW w:w="78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43.20</w:t>
            </w:r>
          </w:p>
        </w:tc>
        <w:tc>
          <w:tcPr>
            <w:tcW w:w="66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97.9</w:t>
            </w:r>
          </w:p>
        </w:tc>
        <w:tc>
          <w:tcPr>
            <w:tcW w:w="66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80.7</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17.2</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0.04</w:t>
            </w:r>
          </w:p>
        </w:tc>
        <w:tc>
          <w:tcPr>
            <w:tcW w:w="66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1.7</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0.14</w:t>
            </w:r>
          </w:p>
        </w:tc>
        <w:tc>
          <w:tcPr>
            <w:tcW w:w="66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18.2</w:t>
            </w:r>
          </w:p>
        </w:tc>
        <w:tc>
          <w:tcPr>
            <w:tcW w:w="78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98.6</w:t>
            </w:r>
          </w:p>
        </w:tc>
        <w:tc>
          <w:tcPr>
            <w:tcW w:w="7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198.6</w:t>
            </w:r>
          </w:p>
        </w:tc>
      </w:tr>
    </w:tbl>
    <w:p w:rsidR="00833CD8" w:rsidRDefault="00833CD8"/>
    <w:p w:rsidR="00833CD8" w:rsidRDefault="00A43542">
      <w:pPr>
        <w:keepNext/>
        <w:jc w:val="both"/>
      </w:pPr>
      <w:r>
        <w:rPr>
          <w:rFonts w:cs="Times New Roman"/>
          <w:b/>
          <w:bCs/>
          <w:sz w:val="22"/>
          <w:szCs w:val="22"/>
        </w:rPr>
        <w:t>Table S3d.</w:t>
      </w:r>
      <w:r>
        <w:rPr>
          <w:rFonts w:cs="Times New Roman"/>
          <w:sz w:val="22"/>
          <w:szCs w:val="22"/>
        </w:rPr>
        <w:t xml:space="preserve"> Alignment processing and quantification per sample. Primary, primary alignments. Dup., duplicates as a share of primary alignments. Proper, properly paired alignments. Counted, read pairs counted by HTSeq-count. Rate, assignment rate, which is assigned pa</w:t>
      </w:r>
      <w:r>
        <w:rPr>
          <w:rFonts w:cs="Times New Roman"/>
          <w:sz w:val="22"/>
          <w:szCs w:val="22"/>
        </w:rPr>
        <w:t xml:space="preserve">irs divided by the sum of assigned, </w:t>
      </w:r>
      <w:r>
        <w:rPr>
          <w:rFonts w:cs="Times New Roman"/>
          <w:sz w:val="22"/>
          <w:szCs w:val="22"/>
        </w:rPr>
        <w:lastRenderedPageBreak/>
        <w:t>no_feature and ambiguous pairs. No feature, ambiguous (Ambig.) and not unique pairs are shares of all counted pairs. Features, annotation features with at least one assigned read.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80"/>
        <w:gridCol w:w="681"/>
        <w:gridCol w:w="681"/>
        <w:gridCol w:w="568"/>
        <w:gridCol w:w="681"/>
        <w:gridCol w:w="738"/>
        <w:gridCol w:w="681"/>
        <w:gridCol w:w="681"/>
        <w:gridCol w:w="568"/>
        <w:gridCol w:w="681"/>
        <w:gridCol w:w="624"/>
        <w:gridCol w:w="681"/>
        <w:gridCol w:w="681"/>
      </w:tblGrid>
      <w:tr w:rsidR="00833CD8">
        <w:tblPrEx>
          <w:tblCellMar>
            <w:top w:w="0" w:type="dxa"/>
            <w:bottom w:w="0" w:type="dxa"/>
          </w:tblCellMar>
        </w:tblPrEx>
        <w:trPr>
          <w:cantSplit/>
          <w:tblHeader/>
        </w:trPr>
        <w:tc>
          <w:tcPr>
            <w:tcW w:w="107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Run</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Group</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Primary (M)</w:t>
            </w:r>
          </w:p>
        </w:tc>
        <w:tc>
          <w:tcPr>
            <w:tcW w:w="56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Dup. (%)</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Proper (%)</w:t>
            </w:r>
          </w:p>
        </w:tc>
        <w:tc>
          <w:tcPr>
            <w:tcW w:w="73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Singletons</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Counted (M)</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Assigned (M)</w:t>
            </w:r>
          </w:p>
        </w:tc>
        <w:tc>
          <w:tcPr>
            <w:tcW w:w="56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Rate (%)</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No feature (%)</w:t>
            </w:r>
          </w:p>
        </w:tc>
        <w:tc>
          <w:tcPr>
            <w:tcW w:w="62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Ambig. (%)</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Not unique (%)</w:t>
            </w:r>
          </w:p>
        </w:tc>
        <w:tc>
          <w:tcPr>
            <w:tcW w:w="68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Features</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105.1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986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10.17</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60,728</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92.2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1,071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8.45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5.5</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60,195</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58.0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592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5.69</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7.4</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57,352</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1,014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8.43</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6.7</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61,470</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105.0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1,084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10.59</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64,627</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55,736</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73.7</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797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7.54</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6.1</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55.1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58,517</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78.4</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1,042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8.60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11.6</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67,280</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94.4</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8.56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7.1</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64,401</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96.7</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1,019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7.12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5.8</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62,304</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57,427</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670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5.66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56,541</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77.1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843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65,548</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850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8.94</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66,838</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82.8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817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7.53</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6.5</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61,623</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106.3</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1,267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53.2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10.70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57,286</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76.6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7.33</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56,972</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82.7</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803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7.23</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5.7</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60,050</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76.4</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785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64,079</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92.2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35.8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1,023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8.17</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59,496</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685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24.4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5.96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20.9</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63,331</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1,192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12.33</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14.6</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69,403</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95.7</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801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10.81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72,329</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84.9</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11.21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64,201</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124.1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1,130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14.07</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70,388</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76.2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703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8.74</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66,293</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87.1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697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62,114</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78.5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948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9.01</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10.1</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17.6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63,571</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95.8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8.58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31.5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63,506</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81.0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1,070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40.5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10.2</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66,823</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10.76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15.8</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43.7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63,362</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93.3</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1,017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9.48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7.4</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63,840</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89.5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10.09</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11.8</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67,888</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67.0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720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6.76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8.0</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23.2</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59,756</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94.6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22.0</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1,209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10.12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14.6</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48.6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74,216</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90.2</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10.88</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27.6</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9.1</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54.1</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62,664</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93.0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46.5</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10.36</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9.5</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69,505</w:t>
            </w:r>
          </w:p>
        </w:tc>
      </w:tr>
      <w:tr w:rsidR="00833CD8">
        <w:tblPrEx>
          <w:tblCellMar>
            <w:top w:w="0" w:type="dxa"/>
            <w:bottom w:w="0" w:type="dxa"/>
          </w:tblCellMar>
        </w:tblPrEx>
        <w:trPr>
          <w:cantSplit/>
        </w:trPr>
        <w:tc>
          <w:tcPr>
            <w:tcW w:w="10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95.5</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33.7</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99.999</w:t>
            </w:r>
          </w:p>
        </w:tc>
        <w:tc>
          <w:tcPr>
            <w:tcW w:w="7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819</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47.8</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9.00</w:t>
            </w:r>
          </w:p>
        </w:tc>
        <w:tc>
          <w:tcPr>
            <w:tcW w:w="5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26.3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w:t>
            </w:r>
          </w:p>
        </w:tc>
        <w:tc>
          <w:tcPr>
            <w:tcW w:w="62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45.3</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28.4</w:t>
            </w:r>
          </w:p>
        </w:tc>
        <w:tc>
          <w:tcPr>
            <w:tcW w:w="68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63,530</w:t>
            </w:r>
          </w:p>
        </w:tc>
      </w:tr>
      <w:tr w:rsidR="00833CD8">
        <w:tblPrEx>
          <w:tblCellMar>
            <w:top w:w="0" w:type="dxa"/>
            <w:bottom w:w="0" w:type="dxa"/>
          </w:tblCellMar>
        </w:tblPrEx>
        <w:trPr>
          <w:cantSplit/>
        </w:trPr>
        <w:tc>
          <w:tcPr>
            <w:tcW w:w="107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SRR5120940</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85.1</w:t>
            </w:r>
          </w:p>
        </w:tc>
        <w:tc>
          <w:tcPr>
            <w:tcW w:w="56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25.5</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99.999</w:t>
            </w:r>
          </w:p>
        </w:tc>
        <w:tc>
          <w:tcPr>
            <w:tcW w:w="73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751</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42.5</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9.12</w:t>
            </w:r>
          </w:p>
        </w:tc>
        <w:tc>
          <w:tcPr>
            <w:tcW w:w="56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26.0</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9.3</w:t>
            </w:r>
          </w:p>
        </w:tc>
        <w:tc>
          <w:tcPr>
            <w:tcW w:w="62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51.7</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17.6</w:t>
            </w:r>
          </w:p>
        </w:tc>
        <w:tc>
          <w:tcPr>
            <w:tcW w:w="68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66,415</w:t>
            </w:r>
          </w:p>
        </w:tc>
      </w:tr>
    </w:tbl>
    <w:p w:rsidR="00833CD8" w:rsidRDefault="00833CD8"/>
    <w:p w:rsidR="00833CD8" w:rsidRDefault="00A43542">
      <w:pPr>
        <w:pStyle w:val="Heading2"/>
        <w:keepNext/>
      </w:pPr>
      <w:r>
        <w:t>S3.3 Module settings</w:t>
      </w:r>
    </w:p>
    <w:p w:rsidR="00833CD8" w:rsidRDefault="00A43542">
      <w:pPr>
        <w:jc w:val="both"/>
      </w:pPr>
      <w:r>
        <w:rPr>
          <w:rFonts w:cs="Times New Roman"/>
        </w:rPr>
        <w:t>Table S4 lists the settings of every module as they were read back from the job records of the case study. Settings that are not listed were left at the defaults of the engine concerned.</w:t>
      </w:r>
    </w:p>
    <w:p w:rsidR="00833CD8" w:rsidRDefault="00833CD8"/>
    <w:p w:rsidR="00833CD8" w:rsidRDefault="00A43542">
      <w:pPr>
        <w:keepNext/>
        <w:jc w:val="both"/>
      </w:pPr>
      <w:r>
        <w:rPr>
          <w:rFonts w:cs="Times New Roman"/>
          <w:b/>
          <w:bCs/>
          <w:sz w:val="22"/>
          <w:szCs w:val="22"/>
        </w:rPr>
        <w:t>Table S4.</w:t>
      </w:r>
      <w:r>
        <w:rPr>
          <w:rFonts w:cs="Times New Roman"/>
          <w:sz w:val="22"/>
          <w:szCs w:val="22"/>
        </w:rPr>
        <w:t xml:space="preserve"> Settings used in the case study, by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83"/>
        <w:gridCol w:w="1354"/>
        <w:gridCol w:w="1676"/>
        <w:gridCol w:w="4513"/>
      </w:tblGrid>
      <w:tr w:rsidR="00833CD8">
        <w:tblPrEx>
          <w:tblCellMar>
            <w:top w:w="0" w:type="dxa"/>
            <w:bottom w:w="0" w:type="dxa"/>
          </w:tblCellMar>
        </w:tblPrEx>
        <w:trPr>
          <w:cantSplit/>
          <w:tblHeader/>
        </w:trPr>
        <w:tc>
          <w:tcPr>
            <w:tcW w:w="148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Module</w:t>
            </w:r>
          </w:p>
        </w:tc>
        <w:tc>
          <w:tcPr>
            <w:tcW w:w="135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Engine</w:t>
            </w:r>
          </w:p>
        </w:tc>
        <w:tc>
          <w:tcPr>
            <w:tcW w:w="167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Setting</w:t>
            </w:r>
          </w:p>
        </w:tc>
        <w:tc>
          <w:tcPr>
            <w:tcW w:w="451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Value</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 Upload</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fasterq-dump</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Input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39 SRA run accessions, SRR5120902 to SRR5120940</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Output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Forward and reverse FASTQ files for each run, with integrity and pairing checks</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 Pre-trim QC</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FastQC, MultiQC</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Mode</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Each of the 78 files analyzed separately with default settings, then aggregated</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 Trimming</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Trimmomatic</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Mode</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Paired-end, Phred+33 quality en</w:t>
            </w:r>
            <w:r>
              <w:rPr>
                <w:rFonts w:cs="Times New Roman"/>
                <w:sz w:val="15"/>
                <w:szCs w:val="15"/>
              </w:rPr>
              <w:t>coding, 4 threads</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Adapter file</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TruSeq2-PE.fa</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ILLUMINACLIP</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2:30:10</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LEADING, TRAILING</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3, 3</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SLIDINGWINDOW</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4:15</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MINLEN</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50</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HEADCROP, TAILCROP</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Not applied</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Output used</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Pairs in which both mates survived</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 Post-trim QC</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FastQC, MultiQC</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Mode</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As for module 2, on the trimmed paired files</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 Alignment</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STAR</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Reference</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UCSC hg38 (hg38.fa), with hg38.knownGene.gtf supplied through --sjdbGTFfile when the index was built</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Input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Trimmed forward and reverse reads of each sample</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Output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--outSAMtype BAM SortedByCoordinate, --outSAMattributes NH HI NM MD AS XS, --outSAMstrandField intronMotif, --quantMode GeneCounts</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Junctions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--alignSJDBoverhangMin 10</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 Pre-quantification</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SAMtools</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Steps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sort, fixmate, markdup (duplicates flagged and kept), index, flagstat</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 Quantification</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HTSeq-count</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Options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 bam, -r pos, -t exon, -i gene_id, -s no</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Output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Per-sample counts merged into one feature-by-sample matrix</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 Annotation</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g:Profiler g:Convert</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Target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Ensembl gene identifiers, HGNC symbols and descriptions for Homo sapiens</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Unresolved identifiers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Removed from the annotated matrix</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Source namespace</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Not restricted, so 497 Swiss-Prot accessions were also matched as Agilent GPL19072 probe names (Section S3.4)</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 DEG analysis</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PyDESeq2</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Design</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~Condition, IPF (20 samples) and control (19 samples)</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Model</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Median-of-ratios size factors, dispersion trend fitting and shrinkage, Wald test, Benjamini and Hochberg adjustment after the default independent filtering (22,054 of 33,877 fitted features kep</w:t>
            </w:r>
            <w:r>
              <w:rPr>
                <w:rFonts w:cs="Times New Roman"/>
                <w:sz w:val="15"/>
                <w:szCs w:val="15"/>
              </w:rPr>
              <w:t>t)</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Filter</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Features with baseMean below 10 excluded before calling</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Significance</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Adjusted P below 0.05 and absolute log</w:t>
            </w:r>
            <w:r>
              <w:rPr>
                <w:rFonts w:cs="Times New Roman"/>
                <w:sz w:val="15"/>
                <w:szCs w:val="15"/>
                <w:vertAlign w:val="subscript"/>
              </w:rPr>
              <w:t>2</w:t>
            </w:r>
            <w:r>
              <w:rPr>
                <w:rFonts w:cs="Times New Roman"/>
                <w:sz w:val="15"/>
                <w:szCs w:val="15"/>
              </w:rPr>
              <w:t xml:space="preserve"> fold change above 0.5</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Contrast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Control against IPF, with control as the numerator, so negative log</w:t>
            </w:r>
            <w:r>
              <w:rPr>
                <w:rFonts w:cs="Times New Roman"/>
                <w:sz w:val="15"/>
                <w:szCs w:val="15"/>
                <w:vertAlign w:val="subscript"/>
              </w:rPr>
              <w:t>2</w:t>
            </w:r>
            <w:r>
              <w:rPr>
                <w:rFonts w:cs="Times New Roman"/>
                <w:sz w:val="15"/>
                <w:szCs w:val="15"/>
              </w:rPr>
              <w:t xml:space="preserve"> fold changes denote features raised in IPF</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GSEApy with Enrichr</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Over-representation analysis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 xml:space="preserve">100 unique symbols with the smallest adjusted P among the differentially expressed features, </w:t>
            </w:r>
            <w:r>
              <w:rPr>
                <w:rFonts w:cs="Times New Roman"/>
                <w:sz w:val="15"/>
                <w:szCs w:val="15"/>
              </w:rPr>
              <w:t>GO_Biological_Process_2023, default Enrichr background</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GSEApy</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Preranked GSEA</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All tested genes ranked by log</w:t>
            </w:r>
            <w:r>
              <w:rPr>
                <w:rFonts w:cs="Times New Roman"/>
                <w:sz w:val="15"/>
                <w:szCs w:val="15"/>
                <w:vertAlign w:val="subscript"/>
              </w:rPr>
              <w:t>2</w:t>
            </w:r>
            <w:r>
              <w:rPr>
                <w:rFonts w:cs="Times New Roman"/>
                <w:sz w:val="15"/>
                <w:szCs w:val="15"/>
              </w:rPr>
              <w:t xml:space="preserve"> fold change, GO_Biological_Process_2023, 100 permutations</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 Gene Splicing</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STAR</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Threads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Chimeric settings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--chimSegmentMin 12, --chimOutType WithinBAM SoftClip, --chimJunctionOverhangMin 8, --chimOutJunctionFormat 1, --chimMultimapNmax 20, --chimMultimapScoreRange 3, --chimNonchimScoreDropMin 10, --chimScoreJunctionNonGTAG -4</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Junction and pairing settings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--alignSJDBoverhangMin 10, --alignMatesGapMax 100000, --alignIntronMax 100000, --alignSJstitchMismatchNmax 5 -1 5 5, --peOverlapNbasesMin 12, --peOverlapMMp 0.1</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Output</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Coordinate-sorted BAM with NH HI NM MD AS XS attributes and --outSAMstrandField intronMotif</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splicekit with edgeR</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Contrast and threshold</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IPF versus control, FDR below 0.05</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 Gene fusion Detection</w:t>
            </w: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STAR</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Settings recommended for Arriba</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--outFilterMultimapNmax 50, --peOverlapNbasesMin 10, --alignSplicedMateMapLminOverLmate 0.5, --alignSJstitchMismatchNmax 5 -1 5 5, --chimSegmentMin 10, --chimOutType WithinBAM HardClip, --chimJunctionOverhangMin 10, --chimSc</w:t>
            </w:r>
            <w:r>
              <w:rPr>
                <w:rFonts w:cs="Times New Roman"/>
                <w:sz w:val="15"/>
                <w:szCs w:val="15"/>
              </w:rPr>
              <w:t>oreDropMax 30, --chimScoreJunctionNonGTAG 0, --chimScoreSeparation 1, --chimSegmentReadGapMax 3, --chimMultimapNmax 50</w:t>
            </w:r>
          </w:p>
        </w:tc>
      </w:tr>
      <w:tr w:rsidR="00833CD8">
        <w:tblPrEx>
          <w:tblCellMar>
            <w:top w:w="0" w:type="dxa"/>
            <w:bottom w:w="0" w:type="dxa"/>
          </w:tblCellMar>
        </w:tblPrEx>
        <w:trPr>
          <w:cantSplit/>
        </w:trPr>
        <w:tc>
          <w:tcPr>
            <w:tcW w:w="148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Arriba</w:t>
            </w:r>
          </w:p>
        </w:tc>
        <w:tc>
          <w:tcPr>
            <w:tcW w:w="167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Inputs</w:t>
            </w:r>
          </w:p>
        </w:tc>
        <w:tc>
          <w:tcPr>
            <w:tcW w:w="451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 xml:space="preserve">STAR BAM file, genome FASTA and annotation matching the STAR index, blacklist, known fusions and protein domain files of </w:t>
            </w:r>
            <w:r>
              <w:rPr>
                <w:rFonts w:cs="Times New Roman"/>
                <w:sz w:val="15"/>
                <w:szCs w:val="15"/>
              </w:rPr>
              <w:t>release 2.5.0</w:t>
            </w:r>
          </w:p>
        </w:tc>
      </w:tr>
      <w:tr w:rsidR="00833CD8">
        <w:tblPrEx>
          <w:tblCellMar>
            <w:top w:w="0" w:type="dxa"/>
            <w:bottom w:w="0" w:type="dxa"/>
          </w:tblCellMar>
        </w:tblPrEx>
        <w:trPr>
          <w:cantSplit/>
        </w:trPr>
        <w:tc>
          <w:tcPr>
            <w:tcW w:w="148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833CD8">
            <w:pPr>
              <w:keepLines/>
              <w:spacing w:line="240" w:lineRule="auto"/>
            </w:pPr>
          </w:p>
        </w:tc>
        <w:tc>
          <w:tcPr>
            <w:tcW w:w="135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833CD8">
            <w:pPr>
              <w:keepLines/>
              <w:spacing w:line="240" w:lineRule="auto"/>
            </w:pPr>
          </w:p>
        </w:tc>
        <w:tc>
          <w:tcPr>
            <w:tcW w:w="167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Outputs</w:t>
            </w:r>
          </w:p>
        </w:tc>
        <w:tc>
          <w:tcPr>
            <w:tcW w:w="451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Fusion table, discarded candidates and one PDF of visualizations per sample</w:t>
            </w:r>
          </w:p>
        </w:tc>
      </w:tr>
    </w:tbl>
    <w:p w:rsidR="00833CD8" w:rsidRDefault="00833CD8"/>
    <w:p w:rsidR="00833CD8" w:rsidRDefault="00A43542">
      <w:pPr>
        <w:pStyle w:val="Heading2"/>
        <w:keepNext/>
      </w:pPr>
      <w:r>
        <w:lastRenderedPageBreak/>
        <w:t>S3.4 Differential expression</w:t>
      </w:r>
    </w:p>
    <w:p w:rsidR="00833CD8" w:rsidRDefault="00A43542">
      <w:pPr>
        <w:jc w:val="both"/>
      </w:pPr>
      <w:r>
        <w:rPr>
          <w:rFonts w:cs="Times New Roman"/>
        </w:rPr>
        <w:t>Tables S5a and S5b extend Table 4 of the main article to the 50 most significant up-regulated and down-regulated features, from the 1,714 and 1,750 features in the two sets. Fold changes are expressed as control relative to IPF, as exported by the DEG anal</w:t>
      </w:r>
      <w:r>
        <w:rPr>
          <w:rFonts w:cs="Times New Roman"/>
        </w:rPr>
        <w:t>ysis module, so the down-regulated features are those raised in IPF. Symbols are those exported by the platform, except for the features marked with an asterisk. For 497 Swiss-Prot accessions in the count matrix, all between P10070 and P34741, g:Convert al</w:t>
      </w:r>
      <w:r>
        <w:rPr>
          <w:rFonts w:cs="Times New Roman"/>
        </w:rPr>
        <w:t>so matched the identifier in the namespace of an Agilent microarray (GPL19072) and returned the gene of that match. Of the 223 tested features among them, 127 carry a wrong symbol in the exported results, and 49 of these are differentially expressed. Examp</w:t>
      </w:r>
      <w:r>
        <w:rPr>
          <w:rFonts w:cs="Times New Roman"/>
        </w:rPr>
        <w:t>les are L3MBTL2-AS1 for P29323 (EPHB2), PRH1 for P33764 (S100A3) and SOX2-OT for P12111 (COL6A3). In Tables S5a and S5b and in Supplementary Data S1 these features carry their UniProt gene names, and Supplementary Data S1 also gives the exported symbol. Th</w:t>
      </w:r>
      <w:r>
        <w:rPr>
          <w:rFonts w:cs="Times New Roman"/>
        </w:rPr>
        <w:t>e differential expression test and its reproduction use the accessions and are not affected. The complete result for all 10,484 tested features is given in Supplementary Data S1.</w:t>
      </w:r>
    </w:p>
    <w:p w:rsidR="00833CD8" w:rsidRDefault="00833CD8"/>
    <w:p w:rsidR="00833CD8" w:rsidRDefault="00A43542">
      <w:pPr>
        <w:keepNext/>
        <w:jc w:val="both"/>
      </w:pPr>
      <w:r>
        <w:rPr>
          <w:rFonts w:cs="Times New Roman"/>
          <w:b/>
          <w:bCs/>
          <w:sz w:val="22"/>
          <w:szCs w:val="22"/>
        </w:rPr>
        <w:t>Table S5a.</w:t>
      </w:r>
      <w:r>
        <w:rPr>
          <w:rFonts w:cs="Times New Roman"/>
          <w:sz w:val="22"/>
          <w:szCs w:val="22"/>
        </w:rPr>
        <w:t xml:space="preserve"> The 50 most significant up-regulated features, ranked by adjusted</w:t>
      </w:r>
      <w:r>
        <w:rPr>
          <w:rFonts w:cs="Times New Roman"/>
          <w:sz w:val="22"/>
          <w:szCs w:val="22"/>
        </w:rPr>
        <w:t xml:space="preserve"> P. Fold changes are expressed as control relative to IPF, so these features are reduced in IPF. Features are identified by their UniProt accessions in the count matrix. Symbols with an asterisk are UniProt gene names that replace a wrong exported symbol (</w:t>
      </w:r>
      <w:r>
        <w:rPr>
          <w:rFonts w:cs="Times New Roman"/>
          <w:sz w:val="22"/>
          <w:szCs w:val="22"/>
        </w:rPr>
        <w:t>Section S3.4).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0"/>
        <w:gridCol w:w="1492"/>
        <w:gridCol w:w="1641"/>
        <w:gridCol w:w="1194"/>
        <w:gridCol w:w="1343"/>
        <w:gridCol w:w="1194"/>
        <w:gridCol w:w="1492"/>
      </w:tblGrid>
      <w:tr w:rsidR="00833CD8">
        <w:tblPrEx>
          <w:tblCellMar>
            <w:top w:w="0" w:type="dxa"/>
            <w:bottom w:w="0" w:type="dxa"/>
          </w:tblCellMar>
        </w:tblPrEx>
        <w:trPr>
          <w:cantSplit/>
          <w:tblHeader/>
        </w:trPr>
        <w:tc>
          <w:tcPr>
            <w:tcW w:w="67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Rank</w:t>
            </w:r>
          </w:p>
        </w:tc>
        <w:tc>
          <w:tcPr>
            <w:tcW w:w="149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Feature</w:t>
            </w:r>
          </w:p>
        </w:tc>
        <w:tc>
          <w:tcPr>
            <w:tcW w:w="164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Symbol</w:t>
            </w:r>
          </w:p>
        </w:tc>
        <w:tc>
          <w:tcPr>
            <w:tcW w:w="119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baseMean</w:t>
            </w:r>
          </w:p>
        </w:tc>
        <w:tc>
          <w:tcPr>
            <w:tcW w:w="134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log</w:t>
            </w:r>
            <w:r>
              <w:rPr>
                <w:rFonts w:cs="Times New Roman"/>
                <w:b/>
                <w:bCs/>
                <w:sz w:val="15"/>
                <w:szCs w:val="15"/>
                <w:vertAlign w:val="subscript"/>
              </w:rPr>
              <w:t>2</w:t>
            </w:r>
            <w:r>
              <w:rPr>
                <w:rFonts w:cs="Times New Roman"/>
                <w:b/>
                <w:bCs/>
                <w:sz w:val="15"/>
                <w:szCs w:val="15"/>
              </w:rPr>
              <w:t xml:space="preserve"> fold change</w:t>
            </w:r>
          </w:p>
        </w:tc>
        <w:tc>
          <w:tcPr>
            <w:tcW w:w="119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Standard error</w:t>
            </w:r>
          </w:p>
        </w:tc>
        <w:tc>
          <w:tcPr>
            <w:tcW w:w="149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Adjusted P</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Q9HCM4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EPB41L5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1,430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4.3 × 10</w:t>
            </w:r>
            <w:r>
              <w:rPr>
                <w:rFonts w:cs="Times New Roman"/>
                <w:sz w:val="15"/>
                <w:szCs w:val="15"/>
                <w:vertAlign w:val="superscript"/>
              </w:rPr>
              <w:t>−43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P46721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SLCO1A2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6.55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0.49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 × 10</w:t>
            </w:r>
            <w:r>
              <w:rPr>
                <w:rFonts w:cs="Times New Roman"/>
                <w:sz w:val="15"/>
                <w:szCs w:val="15"/>
                <w:vertAlign w:val="superscript"/>
              </w:rPr>
              <w:t>−36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Q8IUC8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GALNT13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3.86</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 × 10</w:t>
            </w:r>
            <w:r>
              <w:rPr>
                <w:rFonts w:cs="Times New Roman"/>
                <w:sz w:val="15"/>
                <w:szCs w:val="15"/>
                <w:vertAlign w:val="superscript"/>
              </w:rPr>
              <w:t>−33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P54851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EMP2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17,804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9.1 × 10</w:t>
            </w:r>
            <w:r>
              <w:rPr>
                <w:rFonts w:cs="Times New Roman"/>
                <w:sz w:val="15"/>
                <w:szCs w:val="15"/>
                <w:vertAlign w:val="superscript"/>
              </w:rPr>
              <w:t>−33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Q16825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PTPN21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954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2.4 × 10</w:t>
            </w:r>
            <w:r>
              <w:rPr>
                <w:rFonts w:cs="Times New Roman"/>
                <w:sz w:val="15"/>
                <w:szCs w:val="15"/>
                <w:vertAlign w:val="superscript"/>
              </w:rPr>
              <w:t>−28</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Q717R9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CYS1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 × 10</w:t>
            </w:r>
            <w:r>
              <w:rPr>
                <w:rFonts w:cs="Times New Roman"/>
                <w:sz w:val="15"/>
                <w:szCs w:val="15"/>
                <w:vertAlign w:val="superscript"/>
              </w:rPr>
              <w:t>−28</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Q9NUG4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CCM2L</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4.2 × 10</w:t>
            </w:r>
            <w:r>
              <w:rPr>
                <w:rFonts w:cs="Times New Roman"/>
                <w:sz w:val="15"/>
                <w:szCs w:val="15"/>
                <w:vertAlign w:val="superscript"/>
              </w:rPr>
              <w:t>−27</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Q8WXH6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RAB40A</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4.3 × 10</w:t>
            </w:r>
            <w:r>
              <w:rPr>
                <w:rFonts w:cs="Times New Roman"/>
                <w:sz w:val="15"/>
                <w:szCs w:val="15"/>
                <w:vertAlign w:val="superscript"/>
              </w:rPr>
              <w:t>−27</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Q96KS9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FAM167A</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356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Q8N0Z9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VSIG10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Q12851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MAP4K2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1.86</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9.4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Q6FH91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TNNC1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2.77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4.0 × 10</w:t>
            </w:r>
            <w:r>
              <w:rPr>
                <w:rFonts w:cs="Times New Roman"/>
                <w:sz w:val="15"/>
                <w:szCs w:val="15"/>
                <w:vertAlign w:val="superscript"/>
              </w:rPr>
              <w:t>−25</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Q8N987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NECAB1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3.3 × 10</w:t>
            </w:r>
            <w:r>
              <w:rPr>
                <w:rFonts w:cs="Times New Roman"/>
                <w:sz w:val="15"/>
                <w:szCs w:val="15"/>
                <w:vertAlign w:val="superscript"/>
              </w:rPr>
              <w:t>−24</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Q6ZS82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RGS9BP</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2.75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Q8IZC4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RTKN2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4,605</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4.01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Q9Y2G0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EFR3B</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4.7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V9GYT2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ANKRD29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2.06</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X5DQM5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ADRB2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747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P51826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AFF3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2.44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2.4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H0YMK1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DAPK2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Q53X57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CAV2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4,511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3.2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O75113</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N4BP1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1,007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0.84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0.08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3.7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P50225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SULT1A1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Q5W111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SPRYD7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632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Q8N9R8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SCAI</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696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9.0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lastRenderedPageBreak/>
              <w:t>26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Q6UXG8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BTNL9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2,398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Q9BT76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UPK3B</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3.69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Q8IV16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GPIHBP1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1,356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Q8N6Y0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USHBP1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A4D1S0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KLRG2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75</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Q8N6D5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ANKRD29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378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2.7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Q86T90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KIAA1328</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0.81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0.08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8.1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Q5SVY4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RTKN2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4.59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0.46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9.2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A2A2V5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SERTM1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4.15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0.42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Q9H2E6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SEMA6A</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594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3.6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A0A1B0GVN0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TINCR</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3.6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Q9Y5W3</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KLF2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998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5.1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P43005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SLC1A1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922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5.2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Q15172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PPP2R5A</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2,936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0.67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0.07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5.2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Q9HDC5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JPH1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7.1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P35590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TIE1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519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8.3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P51674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GPM6A</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 × 10</w:t>
            </w:r>
            <w:r>
              <w:rPr>
                <w:rFonts w:cs="Times New Roman"/>
                <w:sz w:val="15"/>
                <w:szCs w:val="15"/>
                <w:vertAlign w:val="superscript"/>
              </w:rPr>
              <w:t>−19</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Q9HB89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NMUR1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 × 10</w:t>
            </w:r>
            <w:r>
              <w:rPr>
                <w:rFonts w:cs="Times New Roman"/>
                <w:sz w:val="15"/>
                <w:szCs w:val="15"/>
                <w:vertAlign w:val="superscript"/>
              </w:rPr>
              <w:t>−19</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P33764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S100A3</w:t>
            </w:r>
            <w:r>
              <w:rPr>
                <w:rFonts w:cs="Times New Roman"/>
                <w:sz w:val="15"/>
                <w:szCs w:val="15"/>
              </w:rPr>
              <w:t>*</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3.7 × 10</w:t>
            </w:r>
            <w:r>
              <w:rPr>
                <w:rFonts w:cs="Times New Roman"/>
                <w:sz w:val="15"/>
                <w:szCs w:val="15"/>
                <w:vertAlign w:val="superscript"/>
              </w:rPr>
              <w:t>−19</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Q5TCX8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MAP3K21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6.5 × 10</w:t>
            </w:r>
            <w:r>
              <w:rPr>
                <w:rFonts w:cs="Times New Roman"/>
                <w:sz w:val="15"/>
                <w:szCs w:val="15"/>
                <w:vertAlign w:val="superscript"/>
              </w:rPr>
              <w:t>−19</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Q9UKF5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ADAM29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3.93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0.42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 × 10</w:t>
            </w:r>
            <w:r>
              <w:rPr>
                <w:rFonts w:cs="Times New Roman"/>
                <w:sz w:val="15"/>
                <w:szCs w:val="15"/>
                <w:vertAlign w:val="superscript"/>
              </w:rPr>
              <w:t>−18</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Q9NUR3</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TMEM74B</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 × 10</w:t>
            </w:r>
            <w:r>
              <w:rPr>
                <w:rFonts w:cs="Times New Roman"/>
                <w:sz w:val="15"/>
                <w:szCs w:val="15"/>
                <w:vertAlign w:val="superscript"/>
              </w:rPr>
              <w:t>−18</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Q9Y342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PLLP</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603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3.3 × 10</w:t>
            </w:r>
            <w:r>
              <w:rPr>
                <w:rFonts w:cs="Times New Roman"/>
                <w:sz w:val="15"/>
                <w:szCs w:val="15"/>
                <w:vertAlign w:val="superscript"/>
              </w:rPr>
              <w:t>−18</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Q9BYJ0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FGFBP2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2.77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4.3 × 10</w:t>
            </w:r>
            <w:r>
              <w:rPr>
                <w:rFonts w:cs="Times New Roman"/>
                <w:sz w:val="15"/>
                <w:szCs w:val="15"/>
                <w:vertAlign w:val="superscript"/>
              </w:rPr>
              <w:t>−18</w:t>
            </w:r>
          </w:p>
        </w:tc>
      </w:tr>
      <w:tr w:rsidR="00833CD8">
        <w:tblPrEx>
          <w:tblCellMar>
            <w:top w:w="0" w:type="dxa"/>
            <w:bottom w:w="0" w:type="dxa"/>
          </w:tblCellMar>
        </w:tblPrEx>
        <w:trPr>
          <w:cantSplit/>
        </w:trPr>
        <w:tc>
          <w:tcPr>
            <w:tcW w:w="67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50</w:t>
            </w:r>
          </w:p>
        </w:tc>
        <w:tc>
          <w:tcPr>
            <w:tcW w:w="149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Q9Y287</w:t>
            </w:r>
          </w:p>
        </w:tc>
        <w:tc>
          <w:tcPr>
            <w:tcW w:w="164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ITM2B</w:t>
            </w:r>
          </w:p>
        </w:tc>
        <w:tc>
          <w:tcPr>
            <w:tcW w:w="119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114</w:t>
            </w:r>
          </w:p>
        </w:tc>
        <w:tc>
          <w:tcPr>
            <w:tcW w:w="134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1.29</w:t>
            </w:r>
          </w:p>
        </w:tc>
        <w:tc>
          <w:tcPr>
            <w:tcW w:w="119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0.14</w:t>
            </w:r>
          </w:p>
        </w:tc>
        <w:tc>
          <w:tcPr>
            <w:tcW w:w="149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 × 10</w:t>
            </w:r>
            <w:r>
              <w:rPr>
                <w:rFonts w:cs="Times New Roman"/>
                <w:sz w:val="15"/>
                <w:szCs w:val="15"/>
                <w:vertAlign w:val="superscript"/>
              </w:rPr>
              <w:t>−17</w:t>
            </w:r>
          </w:p>
        </w:tc>
      </w:tr>
    </w:tbl>
    <w:p w:rsidR="00833CD8" w:rsidRDefault="00833CD8"/>
    <w:p w:rsidR="00833CD8" w:rsidRDefault="00A43542">
      <w:pPr>
        <w:keepNext/>
        <w:jc w:val="both"/>
      </w:pPr>
      <w:r>
        <w:rPr>
          <w:rFonts w:cs="Times New Roman"/>
          <w:b/>
          <w:bCs/>
          <w:sz w:val="22"/>
          <w:szCs w:val="22"/>
        </w:rPr>
        <w:t>Table S5b.</w:t>
      </w:r>
      <w:r>
        <w:rPr>
          <w:rFonts w:cs="Times New Roman"/>
          <w:sz w:val="22"/>
          <w:szCs w:val="22"/>
        </w:rPr>
        <w:t xml:space="preserve"> The 50 most significant down-regulated features, ranked by adjusted P. Fold changes are expressed as control relative to IPF, so these features are raised in IPF. Features are identified by their UniProt accessions in the count matrix. Symbols with an ast</w:t>
      </w:r>
      <w:r>
        <w:rPr>
          <w:rFonts w:cs="Times New Roman"/>
          <w:sz w:val="22"/>
          <w:szCs w:val="22"/>
        </w:rPr>
        <w:t>erisk are UniProt gene names that replace a wrong exported symbol (Section S3.4).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70"/>
        <w:gridCol w:w="1492"/>
        <w:gridCol w:w="1641"/>
        <w:gridCol w:w="1194"/>
        <w:gridCol w:w="1343"/>
        <w:gridCol w:w="1194"/>
        <w:gridCol w:w="1492"/>
      </w:tblGrid>
      <w:tr w:rsidR="00833CD8">
        <w:tblPrEx>
          <w:tblCellMar>
            <w:top w:w="0" w:type="dxa"/>
            <w:bottom w:w="0" w:type="dxa"/>
          </w:tblCellMar>
        </w:tblPrEx>
        <w:trPr>
          <w:cantSplit/>
          <w:tblHeader/>
        </w:trPr>
        <w:tc>
          <w:tcPr>
            <w:tcW w:w="67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Rank</w:t>
            </w:r>
          </w:p>
        </w:tc>
        <w:tc>
          <w:tcPr>
            <w:tcW w:w="149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Feature</w:t>
            </w:r>
          </w:p>
        </w:tc>
        <w:tc>
          <w:tcPr>
            <w:tcW w:w="164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Symbol</w:t>
            </w:r>
          </w:p>
        </w:tc>
        <w:tc>
          <w:tcPr>
            <w:tcW w:w="119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baseMean</w:t>
            </w:r>
          </w:p>
        </w:tc>
        <w:tc>
          <w:tcPr>
            <w:tcW w:w="134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log</w:t>
            </w:r>
            <w:r>
              <w:rPr>
                <w:rFonts w:cs="Times New Roman"/>
                <w:b/>
                <w:bCs/>
                <w:sz w:val="15"/>
                <w:szCs w:val="15"/>
                <w:vertAlign w:val="subscript"/>
              </w:rPr>
              <w:t>2</w:t>
            </w:r>
            <w:r>
              <w:rPr>
                <w:rFonts w:cs="Times New Roman"/>
                <w:b/>
                <w:bCs/>
                <w:sz w:val="15"/>
                <w:szCs w:val="15"/>
              </w:rPr>
              <w:t xml:space="preserve"> fold change</w:t>
            </w:r>
          </w:p>
        </w:tc>
        <w:tc>
          <w:tcPr>
            <w:tcW w:w="119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Standard error</w:t>
            </w:r>
          </w:p>
        </w:tc>
        <w:tc>
          <w:tcPr>
            <w:tcW w:w="149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Adjusted P</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Q9UMD9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COL17A1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−4.79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3.3 × 10</w:t>
            </w:r>
            <w:r>
              <w:rPr>
                <w:rFonts w:cs="Times New Roman"/>
                <w:sz w:val="15"/>
                <w:szCs w:val="15"/>
                <w:vertAlign w:val="superscript"/>
              </w:rPr>
              <w:t>−47</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P09238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MMP10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0.48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4.7 × 10</w:t>
            </w:r>
            <w:r>
              <w:rPr>
                <w:rFonts w:cs="Times New Roman"/>
                <w:sz w:val="15"/>
                <w:szCs w:val="15"/>
                <w:vertAlign w:val="superscript"/>
              </w:rPr>
              <w:t>−35</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P03956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MMP1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553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−7.67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0.59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 × 10</w:t>
            </w:r>
            <w:r>
              <w:rPr>
                <w:rFonts w:cs="Times New Roman"/>
                <w:sz w:val="15"/>
                <w:szCs w:val="15"/>
                <w:vertAlign w:val="superscript"/>
              </w:rPr>
              <w:t>−34</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Q8N0V4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LGI2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235</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 × 10</w:t>
            </w:r>
            <w:r>
              <w:rPr>
                <w:rFonts w:cs="Times New Roman"/>
                <w:sz w:val="15"/>
                <w:szCs w:val="15"/>
                <w:vertAlign w:val="superscript"/>
              </w:rPr>
              <w:t>−32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Q9HCM2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PLXNA4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724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−3.20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 × 10</w:t>
            </w:r>
            <w:r>
              <w:rPr>
                <w:rFonts w:cs="Times New Roman"/>
                <w:sz w:val="15"/>
                <w:szCs w:val="15"/>
                <w:vertAlign w:val="superscript"/>
              </w:rPr>
              <w:t>−31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P54886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ALDH18A1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620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0.09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 × 10</w:t>
            </w:r>
            <w:r>
              <w:rPr>
                <w:rFonts w:cs="Times New Roman"/>
                <w:sz w:val="15"/>
                <w:szCs w:val="15"/>
                <w:vertAlign w:val="superscript"/>
              </w:rPr>
              <w:t>−29</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Q86UK0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ABCA12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−3.88</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3.9 × 10</w:t>
            </w:r>
            <w:r>
              <w:rPr>
                <w:rFonts w:cs="Times New Roman"/>
                <w:sz w:val="15"/>
                <w:szCs w:val="15"/>
                <w:vertAlign w:val="superscript"/>
              </w:rPr>
              <w:t>−29</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Q9H6B4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CLMP</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1,154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7.1 × 10</w:t>
            </w:r>
            <w:r>
              <w:rPr>
                <w:rFonts w:cs="Times New Roman"/>
                <w:sz w:val="15"/>
                <w:szCs w:val="15"/>
                <w:vertAlign w:val="superscript"/>
              </w:rPr>
              <w:t>−29</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Q03692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COL10A1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−3.78</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 × 10</w:t>
            </w:r>
            <w:r>
              <w:rPr>
                <w:rFonts w:cs="Times New Roman"/>
                <w:sz w:val="15"/>
                <w:szCs w:val="15"/>
                <w:vertAlign w:val="superscript"/>
              </w:rPr>
              <w:t>−28</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P36269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GGT5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 × 10</w:t>
            </w:r>
            <w:r>
              <w:rPr>
                <w:rFonts w:cs="Times New Roman"/>
                <w:sz w:val="15"/>
                <w:szCs w:val="15"/>
                <w:vertAlign w:val="superscript"/>
              </w:rPr>
              <w:t>−28</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P02461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COL3A1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25,533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−3.59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6.6 × 10</w:t>
            </w:r>
            <w:r>
              <w:rPr>
                <w:rFonts w:cs="Times New Roman"/>
                <w:sz w:val="15"/>
                <w:szCs w:val="15"/>
                <w:vertAlign w:val="superscript"/>
              </w:rPr>
              <w:t>−27</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P45452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MMP13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−5.62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0.50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8.1 × 10</w:t>
            </w:r>
            <w:r>
              <w:rPr>
                <w:rFonts w:cs="Times New Roman"/>
                <w:sz w:val="15"/>
                <w:szCs w:val="15"/>
                <w:vertAlign w:val="superscript"/>
              </w:rPr>
              <w:t>−27</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P29323</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EPHB2</w:t>
            </w:r>
            <w:r>
              <w:rPr>
                <w:rFonts w:cs="Times New Roman"/>
                <w:sz w:val="15"/>
                <w:szCs w:val="15"/>
              </w:rPr>
              <w:t>*</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P21217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FUT3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135</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E7EW31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PROB1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5.5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P22223</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CDH3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9.4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P08138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NGFR</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9.4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Q8IZW8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TNS4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−4.07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9.8 × 10</w:t>
            </w:r>
            <w:r>
              <w:rPr>
                <w:rFonts w:cs="Times New Roman"/>
                <w:sz w:val="15"/>
                <w:szCs w:val="15"/>
                <w:vertAlign w:val="superscript"/>
              </w:rPr>
              <w:t>−26</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Q86UY5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FAM83A</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114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−4.35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0.40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8.5 × 10</w:t>
            </w:r>
            <w:r>
              <w:rPr>
                <w:rFonts w:cs="Times New Roman"/>
                <w:sz w:val="15"/>
                <w:szCs w:val="15"/>
                <w:vertAlign w:val="superscript"/>
              </w:rPr>
              <w:t>−25</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Q99727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TIMP4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 × 10</w:t>
            </w:r>
            <w:r>
              <w:rPr>
                <w:rFonts w:cs="Times New Roman"/>
                <w:sz w:val="15"/>
                <w:szCs w:val="15"/>
                <w:vertAlign w:val="superscript"/>
              </w:rPr>
              <w:t>−24</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Q9Y617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PSAT1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 × 10</w:t>
            </w:r>
            <w:r>
              <w:rPr>
                <w:rFonts w:cs="Times New Roman"/>
                <w:sz w:val="15"/>
                <w:szCs w:val="15"/>
                <w:vertAlign w:val="superscript"/>
              </w:rPr>
              <w:t>−24</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P09237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MMP7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1,362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 × 10</w:t>
            </w:r>
            <w:r>
              <w:rPr>
                <w:rFonts w:cs="Times New Roman"/>
                <w:sz w:val="15"/>
                <w:szCs w:val="15"/>
                <w:vertAlign w:val="superscript"/>
              </w:rPr>
              <w:t>−24</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O43895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XPNPEP2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2.4 × 10</w:t>
            </w:r>
            <w:r>
              <w:rPr>
                <w:rFonts w:cs="Times New Roman"/>
                <w:sz w:val="15"/>
                <w:szCs w:val="15"/>
                <w:vertAlign w:val="superscript"/>
              </w:rPr>
              <w:t>−24</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Q9HCB6</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SPON1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3,888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1.5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O15347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HMGB3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768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P05154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SERPINA5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3.4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lastRenderedPageBreak/>
              <w:t>27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Q03001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DST</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589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5.0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P29120</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PCSK1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−3.73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Q9P2B2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PTGFRN</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1,461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Q14627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IL13RA2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170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7.8 × 10</w:t>
            </w:r>
            <w:r>
              <w:rPr>
                <w:rFonts w:cs="Times New Roman"/>
                <w:sz w:val="15"/>
                <w:szCs w:val="15"/>
                <w:vertAlign w:val="superscript"/>
              </w:rPr>
              <w:t>−23</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Q8IV01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SYT12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33</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−3.44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Q96CG8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CTHRC1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O60565</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GREM1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−6.66</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0.64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Q05707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COL14A1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4,524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−2.47</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O15484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CAPN5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 × 10</w:t>
            </w:r>
            <w:r>
              <w:rPr>
                <w:rFonts w:cs="Times New Roman"/>
                <w:sz w:val="15"/>
                <w:szCs w:val="15"/>
                <w:vertAlign w:val="superscript"/>
              </w:rPr>
              <w:t>−22</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Q13641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TPBG</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552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1.2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Q8N271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PROM2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−2.72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B1AKI9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ISM1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482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−1.98</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2.3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O75509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TNFRSF21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1,922</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6.8 × 10</w:t>
            </w:r>
            <w:r>
              <w:rPr>
                <w:rFonts w:cs="Times New Roman"/>
                <w:sz w:val="15"/>
                <w:szCs w:val="15"/>
                <w:vertAlign w:val="superscript"/>
              </w:rPr>
              <w:t>−21</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Q02388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COL7A1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220</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−2.24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Q8WYA1</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BMAL2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338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−1.99</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1.6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42</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Q9H9B4</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SFXN1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444</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−0.66</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0.07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43</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P02538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KRT6A</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458</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−7.45</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0.76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2.1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44</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P47972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NPTX2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66</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−3.08</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0.31</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2.5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P02452</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COL1A1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9,997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−3.61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46</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Q9NYQ8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FAT2</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139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−3.91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0.40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3.1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47</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O75339</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CILP</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367</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−2.83</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3.2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48</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Q8WXS8</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ADAMTS14</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269</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−2.90</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0.30</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4.4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49</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O60287</w:t>
            </w:r>
          </w:p>
        </w:tc>
        <w:tc>
          <w:tcPr>
            <w:tcW w:w="16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URB1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1,001</w:t>
            </w:r>
          </w:p>
        </w:tc>
        <w:tc>
          <w:tcPr>
            <w:tcW w:w="134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−1.41</w:t>
            </w:r>
          </w:p>
        </w:tc>
        <w:tc>
          <w:tcPr>
            <w:tcW w:w="11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0.15</w:t>
            </w:r>
          </w:p>
        </w:tc>
        <w:tc>
          <w:tcPr>
            <w:tcW w:w="149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5.1 × 10</w:t>
            </w:r>
            <w:r>
              <w:rPr>
                <w:rFonts w:cs="Times New Roman"/>
                <w:sz w:val="15"/>
                <w:szCs w:val="15"/>
                <w:vertAlign w:val="superscript"/>
              </w:rPr>
              <w:t>−20</w:t>
            </w:r>
          </w:p>
        </w:tc>
      </w:tr>
      <w:tr w:rsidR="00833CD8">
        <w:tblPrEx>
          <w:tblCellMar>
            <w:top w:w="0" w:type="dxa"/>
            <w:bottom w:w="0" w:type="dxa"/>
          </w:tblCellMar>
        </w:tblPrEx>
        <w:trPr>
          <w:cantSplit/>
        </w:trPr>
        <w:tc>
          <w:tcPr>
            <w:tcW w:w="67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50</w:t>
            </w:r>
          </w:p>
        </w:tc>
        <w:tc>
          <w:tcPr>
            <w:tcW w:w="149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Q10981</w:t>
            </w:r>
          </w:p>
        </w:tc>
        <w:tc>
          <w:tcPr>
            <w:tcW w:w="164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FUT2</w:t>
            </w:r>
          </w:p>
        </w:tc>
        <w:tc>
          <w:tcPr>
            <w:tcW w:w="119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209</w:t>
            </w:r>
          </w:p>
        </w:tc>
        <w:tc>
          <w:tcPr>
            <w:tcW w:w="134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−2.81</w:t>
            </w:r>
          </w:p>
        </w:tc>
        <w:tc>
          <w:tcPr>
            <w:tcW w:w="119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0.29</w:t>
            </w:r>
          </w:p>
        </w:tc>
        <w:tc>
          <w:tcPr>
            <w:tcW w:w="149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5.1 × 10</w:t>
            </w:r>
            <w:r>
              <w:rPr>
                <w:rFonts w:cs="Times New Roman"/>
                <w:sz w:val="15"/>
                <w:szCs w:val="15"/>
                <w:vertAlign w:val="superscript"/>
              </w:rPr>
              <w:t>−20</w:t>
            </w:r>
          </w:p>
        </w:tc>
      </w:tr>
    </w:tbl>
    <w:p w:rsidR="00833CD8" w:rsidRDefault="00833CD8"/>
    <w:p w:rsidR="00833CD8" w:rsidRDefault="00A43542">
      <w:pPr>
        <w:pStyle w:val="Heading2"/>
        <w:keepNext/>
      </w:pPr>
      <w:r>
        <w:t>S3.5 Functional enrichment</w:t>
      </w:r>
    </w:p>
    <w:p w:rsidR="00833CD8" w:rsidRDefault="00A43542">
      <w:pPr>
        <w:jc w:val="both"/>
      </w:pPr>
      <w:r>
        <w:rPr>
          <w:rFonts w:cs="Times New Roman"/>
        </w:rPr>
        <w:t>Table S6a lists the 20 GO Biological Process terms with the smallest adjusted P values in the over-representation analysis of the 100 most significant genes. Enrichr returned 753 terms in total, and all of them are given in Supplementary Data S1. Table S6b</w:t>
      </w:r>
      <w:r>
        <w:rPr>
          <w:rFonts w:cs="Times New Roman"/>
        </w:rPr>
        <w:t xml:space="preserve"> lists the 17 gene sets with an FDR below 0.05 in the preranked GSEA. Genes were ranked by the log</w:t>
      </w:r>
      <w:r>
        <w:rPr>
          <w:rFonts w:cs="Times New Roman"/>
          <w:vertAlign w:val="subscript"/>
        </w:rPr>
        <w:t>2</w:t>
      </w:r>
      <w:r>
        <w:rPr>
          <w:rFonts w:cs="Times New Roman"/>
        </w:rPr>
        <w:t xml:space="preserve"> fold change of control relative to IPF, so a negative normalized enrichment score denotes enrichment among the down-regulated genes, which are raised in IPF. Nominal P values of zero, which arise with 100 permutations, are shown as below 0.01. The over-re</w:t>
      </w:r>
      <w:r>
        <w:rPr>
          <w:rFonts w:cs="Times New Roman"/>
        </w:rPr>
        <w:t>presentation input was the list of the 100 most significant unique symbols. The exported term table agrees with this list, since 78 of the 79 genes that appear in any term are among these symbols. The exception is CAV1, whose most significant feature ranke</w:t>
      </w:r>
      <w:r>
        <w:rPr>
          <w:rFonts w:cs="Times New Roman"/>
        </w:rPr>
        <w:t>d 200th by symbol, so the list that the module submitted cannot be reconstructed exactly from the exported files. Two symbols of the list, L3MBTL2-AS1 and PRH1, belong to mislabeled features (Section S3.4), and neither appears in any returned term.</w:t>
      </w:r>
    </w:p>
    <w:p w:rsidR="00833CD8" w:rsidRDefault="00833CD8"/>
    <w:p w:rsidR="00833CD8" w:rsidRDefault="00A43542">
      <w:pPr>
        <w:keepNext/>
        <w:jc w:val="both"/>
      </w:pPr>
      <w:r>
        <w:rPr>
          <w:rFonts w:cs="Times New Roman"/>
          <w:b/>
          <w:bCs/>
          <w:sz w:val="22"/>
          <w:szCs w:val="22"/>
        </w:rPr>
        <w:lastRenderedPageBreak/>
        <w:t xml:space="preserve">Table </w:t>
      </w:r>
      <w:r>
        <w:rPr>
          <w:rFonts w:cs="Times New Roman"/>
          <w:b/>
          <w:bCs/>
          <w:sz w:val="22"/>
          <w:szCs w:val="22"/>
        </w:rPr>
        <w:t>S6a.</w:t>
      </w:r>
      <w:r>
        <w:rPr>
          <w:rFonts w:cs="Times New Roman"/>
          <w:sz w:val="22"/>
          <w:szCs w:val="22"/>
        </w:rPr>
        <w:t xml:space="preserve"> Over-representation analysis of the 100 most significant differentially expressed genes against GO Biological Process 2023 through Enrichr. Overlap is the number of input genes in the term over the size of the term.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63"/>
        <w:gridCol w:w="967"/>
        <w:gridCol w:w="645"/>
        <w:gridCol w:w="838"/>
        <w:gridCol w:w="838"/>
        <w:gridCol w:w="645"/>
        <w:gridCol w:w="709"/>
        <w:gridCol w:w="2321"/>
      </w:tblGrid>
      <w:tr w:rsidR="00833CD8">
        <w:tblPrEx>
          <w:tblCellMar>
            <w:top w:w="0" w:type="dxa"/>
            <w:bottom w:w="0" w:type="dxa"/>
          </w:tblCellMar>
        </w:tblPrEx>
        <w:trPr>
          <w:cantSplit/>
          <w:tblHeader/>
        </w:trPr>
        <w:tc>
          <w:tcPr>
            <w:tcW w:w="206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Term</w:t>
            </w:r>
          </w:p>
        </w:tc>
        <w:tc>
          <w:tcPr>
            <w:tcW w:w="96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GO identifier</w:t>
            </w:r>
          </w:p>
        </w:tc>
        <w:tc>
          <w:tcPr>
            <w:tcW w:w="64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Overlap</w:t>
            </w:r>
          </w:p>
        </w:tc>
        <w:tc>
          <w:tcPr>
            <w:tcW w:w="83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P</w:t>
            </w:r>
          </w:p>
        </w:tc>
        <w:tc>
          <w:tcPr>
            <w:tcW w:w="83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Adjusted P</w:t>
            </w:r>
          </w:p>
        </w:tc>
        <w:tc>
          <w:tcPr>
            <w:tcW w:w="64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Odds ratio</w:t>
            </w:r>
          </w:p>
        </w:tc>
        <w:tc>
          <w:tcPr>
            <w:tcW w:w="70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Combined score</w:t>
            </w:r>
          </w:p>
        </w:tc>
        <w:tc>
          <w:tcPr>
            <w:tcW w:w="232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Genes</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Extracellular Structure Organization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GO:0043062</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12/109</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 × 10</w:t>
            </w:r>
            <w:r>
              <w:rPr>
                <w:rFonts w:cs="Times New Roman"/>
                <w:sz w:val="14"/>
                <w:szCs w:val="14"/>
                <w:vertAlign w:val="superscript"/>
              </w:rPr>
              <w:t>−13</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 × 10</w:t>
            </w:r>
            <w:r>
              <w:rPr>
                <w:rFonts w:cs="Times New Roman"/>
                <w:sz w:val="14"/>
                <w:szCs w:val="14"/>
                <w:vertAlign w:val="superscript"/>
              </w:rPr>
              <w:t>−11</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28.8</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846</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COL17A1, COL1A1, ADAMTS14, COL3A1, COL1A2, MMP7, MMP13, COL14A1, MMP1, COL7A1, COL10A1, MMP10</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External Encapsulating Structure Organization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GO:0045229</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12/110</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 × 10</w:t>
            </w:r>
            <w:r>
              <w:rPr>
                <w:rFonts w:cs="Times New Roman"/>
                <w:sz w:val="14"/>
                <w:szCs w:val="14"/>
                <w:vertAlign w:val="superscript"/>
              </w:rPr>
              <w:t>−13</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 × 10</w:t>
            </w:r>
            <w:r>
              <w:rPr>
                <w:rFonts w:cs="Times New Roman"/>
                <w:sz w:val="14"/>
                <w:szCs w:val="14"/>
                <w:vertAlign w:val="superscript"/>
              </w:rPr>
              <w:t>−11</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28.5</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834</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COL17A1, COL1A1, ADAMTS14, COL3A1, COL1A2, MMP7, MMP13, COL14A1, MMP1, COL7A1, COL10A1, MMP10</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Extracellular Matrix Organization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GO:0030198</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13/176</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 × 10</w:t>
            </w:r>
            <w:r>
              <w:rPr>
                <w:rFonts w:cs="Times New Roman"/>
                <w:sz w:val="14"/>
                <w:szCs w:val="14"/>
                <w:vertAlign w:val="superscript"/>
              </w:rPr>
              <w:t>−12</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7.5 × 10</w:t>
            </w:r>
            <w:r>
              <w:rPr>
                <w:rFonts w:cs="Times New Roman"/>
                <w:sz w:val="14"/>
                <w:szCs w:val="14"/>
                <w:vertAlign w:val="superscript"/>
              </w:rPr>
              <w:t>−10</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18.7</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497</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COL17A1, MMP7, COL14A1, MMP1, MMP10, COL1A1, GREM1, ADAMTS14, COL3A1, COL1A2, MMP13, COL7A1, COL10A1</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Collagen Fibril Organization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GO:0030199</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5/42</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 × 10</w:t>
            </w:r>
            <w:r>
              <w:rPr>
                <w:rFonts w:cs="Times New Roman"/>
                <w:sz w:val="14"/>
                <w:szCs w:val="14"/>
                <w:vertAlign w:val="superscript"/>
              </w:rPr>
              <w:t>−6</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 × 10</w:t>
            </w:r>
            <w:r>
              <w:rPr>
                <w:rFonts w:cs="Times New Roman"/>
                <w:sz w:val="14"/>
                <w:szCs w:val="14"/>
                <w:vertAlign w:val="superscript"/>
              </w:rPr>
              <w:t>−4</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29.2</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386</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COL1A1, GREM1, COL3A1, COL1A2, COL14A1</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Extracellular Matrix Disassembly</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GO:0022617</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4/44</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6.1 × 10</w:t>
            </w:r>
            <w:r>
              <w:rPr>
                <w:rFonts w:cs="Times New Roman"/>
                <w:sz w:val="14"/>
                <w:szCs w:val="14"/>
                <w:vertAlign w:val="superscript"/>
              </w:rPr>
              <w:t>−5</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0.009</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21.4</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207</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MMP7, MMP13, MMP1, MMP10</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Cellular Component Disassembly</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GO:0022411</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4/46</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7.3 × 10</w:t>
            </w:r>
            <w:r>
              <w:rPr>
                <w:rFonts w:cs="Times New Roman"/>
                <w:sz w:val="14"/>
                <w:szCs w:val="14"/>
                <w:vertAlign w:val="superscript"/>
              </w:rPr>
              <w:t>−5</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0.009</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20.3</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194</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MMP7, MMP13, MMP1, MMP10</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Supramolecular Fiber Organization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GO:0097435</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8/316</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 × 10</w:t>
            </w:r>
            <w:r>
              <w:rPr>
                <w:rFonts w:cs="Times New Roman"/>
                <w:sz w:val="14"/>
                <w:szCs w:val="14"/>
                <w:vertAlign w:val="superscript"/>
              </w:rPr>
              <w:t>−4</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0.016</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5.7</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50</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COL1A1, GREM1, ADAMTS14, COL3A1, COL1A2, COL14A1, EMP2, KRT6A</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Plasma Membrane Raft Assembly</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GO:0044854</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2/5</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 × 10</w:t>
            </w:r>
            <w:r>
              <w:rPr>
                <w:rFonts w:cs="Times New Roman"/>
                <w:sz w:val="14"/>
                <w:szCs w:val="14"/>
                <w:vertAlign w:val="superscript"/>
              </w:rPr>
              <w:t>−4</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0.022</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139.6</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1170</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CAV2, EMP2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Regulation Of Hydrolase Activity</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GO:0051336</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4/71</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3.9 × 10</w:t>
            </w:r>
            <w:r>
              <w:rPr>
                <w:rFonts w:cs="Times New Roman"/>
                <w:sz w:val="14"/>
                <w:szCs w:val="14"/>
                <w:vertAlign w:val="superscript"/>
              </w:rPr>
              <w:t>−4</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0.033</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12.7</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100</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CAV1, PLXNA4, SERPINA5, PROM2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Regulation Of Pinocytosis</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GO:0048548</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 × 10</w:t>
            </w:r>
            <w:r>
              <w:rPr>
                <w:rFonts w:cs="Times New Roman"/>
                <w:sz w:val="14"/>
                <w:szCs w:val="14"/>
                <w:vertAlign w:val="superscript"/>
              </w:rPr>
              <w:t>−4</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0.044</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69.8</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513</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CAV1, PROM2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Skin Morphogenesis</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GO:0043589</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2/8</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 × 10</w:t>
            </w:r>
            <w:r>
              <w:rPr>
                <w:rFonts w:cs="Times New Roman"/>
                <w:sz w:val="14"/>
                <w:szCs w:val="14"/>
                <w:vertAlign w:val="superscript"/>
              </w:rPr>
              <w:t>−4</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0.044</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69.8</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513</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COL1A1, COL1A2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Negative Regulation Of Endothelial Cell Proliferation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GO:0001937</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3/37</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7.6 × 10</w:t>
            </w:r>
            <w:r>
              <w:rPr>
                <w:rFonts w:cs="Times New Roman"/>
                <w:sz w:val="14"/>
                <w:szCs w:val="14"/>
                <w:vertAlign w:val="superscript"/>
              </w:rPr>
              <w:t>−4</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0.048</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18.7</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134</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NGFR, CAV2, CAV1</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Negative Regulation Of Sprouting Angiogenesis</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GO:1903671</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2/10</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0.0010</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0.055</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52.4</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361</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SEMA6A, KLF2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Receptor-Mediated Endocytosis Of Virus By Host Cell</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GO:0019065</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2/10</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0.0010</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0.055</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52.4</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361</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CAV2, CAV1</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Regulation Of Endothelial Cell Proliferation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GO:0001936</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4/93</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0.0011</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0.055</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9.6</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65</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CAV2, CAV1, TIE1, FUT2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Response To Amyloid-Beta</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GO:1904645</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3/43</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0.0012</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0.056</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15.8</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107</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NGFR, MMP13, ADRB2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Regulation Of Intrinsic Apoptotic Signaling Pathway</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GO:2001242</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3/48</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0.0016</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0.072</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14.1</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90</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CAV1, DAPK2, RTKN2</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Negative Regulation Of Transmembrane Receptor Protein Serine/Threonine Kinase Signaling Pathway</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GO:0090101</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4/111</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0.0021</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0.088</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8.0</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49</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GREM1, CILP, CAV1, CAPN5</w:t>
            </w:r>
          </w:p>
        </w:tc>
      </w:tr>
      <w:tr w:rsidR="00833CD8">
        <w:tblPrEx>
          <w:tblCellMar>
            <w:top w:w="0" w:type="dxa"/>
            <w:bottom w:w="0" w:type="dxa"/>
          </w:tblCellMar>
        </w:tblPrEx>
        <w:trPr>
          <w:cantSplit/>
        </w:trPr>
        <w:tc>
          <w:tcPr>
            <w:tcW w:w="206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Vasodilation</w:t>
            </w:r>
          </w:p>
        </w:tc>
        <w:tc>
          <w:tcPr>
            <w:tcW w:w="9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GO:0042311</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2/15</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0.0023</w:t>
            </w:r>
          </w:p>
        </w:tc>
        <w:tc>
          <w:tcPr>
            <w:tcW w:w="83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0.093</w:t>
            </w:r>
          </w:p>
        </w:tc>
        <w:tc>
          <w:tcPr>
            <w:tcW w:w="64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32.2</w:t>
            </w:r>
          </w:p>
        </w:tc>
        <w:tc>
          <w:tcPr>
            <w:tcW w:w="70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195</w:t>
            </w:r>
          </w:p>
        </w:tc>
        <w:tc>
          <w:tcPr>
            <w:tcW w:w="23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ADRB2, KLF2</w:t>
            </w:r>
          </w:p>
        </w:tc>
      </w:tr>
      <w:tr w:rsidR="00833CD8">
        <w:tblPrEx>
          <w:tblCellMar>
            <w:top w:w="0" w:type="dxa"/>
            <w:bottom w:w="0" w:type="dxa"/>
          </w:tblCellMar>
        </w:tblPrEx>
        <w:trPr>
          <w:cantSplit/>
        </w:trPr>
        <w:tc>
          <w:tcPr>
            <w:tcW w:w="206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Cellular Response To Peptide</w:t>
            </w:r>
          </w:p>
        </w:tc>
        <w:tc>
          <w:tcPr>
            <w:tcW w:w="96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GO:1901653</w:t>
            </w:r>
          </w:p>
        </w:tc>
        <w:tc>
          <w:tcPr>
            <w:tcW w:w="64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3/56</w:t>
            </w:r>
          </w:p>
        </w:tc>
        <w:tc>
          <w:tcPr>
            <w:tcW w:w="83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0.0025</w:t>
            </w:r>
          </w:p>
        </w:tc>
        <w:tc>
          <w:tcPr>
            <w:tcW w:w="83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0.096</w:t>
            </w:r>
          </w:p>
        </w:tc>
        <w:tc>
          <w:tcPr>
            <w:tcW w:w="64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12.0</w:t>
            </w:r>
          </w:p>
        </w:tc>
        <w:tc>
          <w:tcPr>
            <w:tcW w:w="70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71</w:t>
            </w:r>
          </w:p>
        </w:tc>
        <w:tc>
          <w:tcPr>
            <w:tcW w:w="232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NGFR, CAV1, ADRB2</w:t>
            </w:r>
          </w:p>
        </w:tc>
      </w:tr>
    </w:tbl>
    <w:p w:rsidR="00833CD8" w:rsidRDefault="00833CD8"/>
    <w:p w:rsidR="00833CD8" w:rsidRDefault="00A43542">
      <w:pPr>
        <w:keepNext/>
        <w:jc w:val="both"/>
      </w:pPr>
      <w:r>
        <w:rPr>
          <w:rFonts w:cs="Times New Roman"/>
          <w:b/>
          <w:bCs/>
          <w:sz w:val="22"/>
          <w:szCs w:val="22"/>
        </w:rPr>
        <w:t>Table S6b.</w:t>
      </w:r>
      <w:r>
        <w:rPr>
          <w:rFonts w:cs="Times New Roman"/>
          <w:sz w:val="22"/>
          <w:szCs w:val="22"/>
        </w:rPr>
        <w:t xml:space="preserve"> Gene sets of GO Biological Process 2023 with an FDR below 0.05 in preranked GSEA of all tested genes. Negative NES denotes enrichment among down-regulated genes, which are raised in </w:t>
      </w:r>
      <w:r>
        <w:rPr>
          <w:rFonts w:cs="Times New Roman"/>
          <w:sz w:val="22"/>
          <w:szCs w:val="22"/>
        </w:rPr>
        <w:lastRenderedPageBreak/>
        <w:t>IPF. Tag gives the number of leading-edge genes over the number of set ge</w:t>
      </w:r>
      <w:r>
        <w:rPr>
          <w:rFonts w:cs="Times New Roman"/>
          <w:sz w:val="22"/>
          <w:szCs w:val="22"/>
        </w:rPr>
        <w:t>nes in the ranked list, and the first eight leading-edge genes are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1"/>
        <w:gridCol w:w="1018"/>
        <w:gridCol w:w="611"/>
        <w:gridCol w:w="747"/>
        <w:gridCol w:w="679"/>
        <w:gridCol w:w="679"/>
        <w:gridCol w:w="3121"/>
      </w:tblGrid>
      <w:tr w:rsidR="00833CD8">
        <w:tblPrEx>
          <w:tblCellMar>
            <w:top w:w="0" w:type="dxa"/>
            <w:bottom w:w="0" w:type="dxa"/>
          </w:tblCellMar>
        </w:tblPrEx>
        <w:trPr>
          <w:cantSplit/>
          <w:tblHeader/>
        </w:trPr>
        <w:tc>
          <w:tcPr>
            <w:tcW w:w="217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Gene set</w:t>
            </w:r>
          </w:p>
        </w:tc>
        <w:tc>
          <w:tcPr>
            <w:tcW w:w="101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GO identifier</w:t>
            </w:r>
          </w:p>
        </w:tc>
        <w:tc>
          <w:tcPr>
            <w:tcW w:w="61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NES</w:t>
            </w:r>
          </w:p>
        </w:tc>
        <w:tc>
          <w:tcPr>
            <w:tcW w:w="74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Nominal P</w:t>
            </w:r>
          </w:p>
        </w:tc>
        <w:tc>
          <w:tcPr>
            <w:tcW w:w="67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FDR</w:t>
            </w:r>
          </w:p>
        </w:tc>
        <w:tc>
          <w:tcPr>
            <w:tcW w:w="67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Tag</w:t>
            </w:r>
          </w:p>
        </w:tc>
        <w:tc>
          <w:tcPr>
            <w:tcW w:w="312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Leading-edge genes</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External Encapsulating Structure Organization</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GO:0045229</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−2.30</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42/84</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MMP1, MMP10, MMP13, COL17A1, MMP7, COL10A1, MMP8, COL3A1,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Negative Regulation Of Endopeptidase Activity</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GO:0010951</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−2.29</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12/44</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SERPINB4, CST1, SERPINB5, CST2, SERPINB2, SERPINA5, TIMP4, SERPINA11,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Extracellular Matrix Organization</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GO:0030198</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−2.29</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64/133</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MMP1, GREM1, PRSS2, MMP10, MMP13, COL17A1, MMP7, COL10A1,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Extracellular Structure Organization</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GO:0043062</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−2.26</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41/84</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MMP1, MMP10, MMP13, COL17A1, MMP7, COL10A1, MMP8, COL3A1,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Cellular Component Disassembly</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GO:0022411</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−2.18</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9/31</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MMP1, PRSS2, MMP10, MMP13, MMP7, MMP8, MMP3, MMP12,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Regulation Of Endopeptidase Activity</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GO:0052548</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−2.14</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9/45</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SERPINB4, SERPINB5, SERPINB2, SERPINA5, TIMP4, SERPINA11, SERPINB7, SERPINB13,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Extracellular Matrix Disassembly</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GO:0022617</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−2.13</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9/29</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MMP1, PRSS2, MMP10, MMP13, MMP7, MMP8, MMP3, MMP12,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Intermediate Filament Organization</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GO:0045109</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−2.13</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13/35</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KRT14, KRT6A, KRT75, KRT6B, KRT16, KRT5, DES, KRT17,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Negative Regulation Of Peptidase Activity</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GO:0010466</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−2.05</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9/42</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SERPINB4, SERPINB5, SERPINB2, SERPINA5, TIMP4, SERPINA11, SERPINB7, SERPINB13,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Collagen Fibril Organization</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GO:0030199</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−2.07</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0.002</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18/35</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GREM1, COL3A1, COL1A2, CYP1B1, COL14A1, COL18A1, TLL2, ADAMTS2,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Epidermis Development</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GO:0008544</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−2.02</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0.002</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23/62</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KRT14, SPRR1B, SPRR1A, COL17A1, KRT5, SPRR3, CALML5, GJB5,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Cilium Movement</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GO:0003341</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−2.01</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0.004</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30/44</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CFAP206, HYDIN, CFAP53, RSPH4A, DNAH7, RSPH9, DNAAF6, TEKT5,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Epidermal Cell Differentiation</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GO:0009913</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−1.95</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0.012</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14/42</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SPRR1B, KRT16, SPRR1A, SPRR3, IVL, WNT5A, OVOL1, SPRR2F,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Vitamin D Metabolic Process</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GO:0042359</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−1.92</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0.025</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3/7</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CYP24A1, UGT1A4, CYP1A1</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Keratinocyte Differentiation</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GO:0030216</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−1.89</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0.042</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12/32</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SPRR1B, KRT16, SPRR1A, SPRR3, IVL, WNT5A, SPRR2F, S100A7, ...</w:t>
            </w:r>
          </w:p>
        </w:tc>
      </w:tr>
      <w:tr w:rsidR="00833CD8">
        <w:tblPrEx>
          <w:tblCellMar>
            <w:top w:w="0" w:type="dxa"/>
            <w:bottom w:w="0" w:type="dxa"/>
          </w:tblCellMar>
        </w:tblPrEx>
        <w:trPr>
          <w:cantSplit/>
        </w:trPr>
        <w:tc>
          <w:tcPr>
            <w:tcW w:w="217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Skin Development</w:t>
            </w:r>
          </w:p>
        </w:tc>
        <w:tc>
          <w:tcPr>
            <w:tcW w:w="101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GO:0043588</w:t>
            </w:r>
          </w:p>
        </w:tc>
        <w:tc>
          <w:tcPr>
            <w:tcW w:w="61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−1.88</w:t>
            </w:r>
          </w:p>
        </w:tc>
        <w:tc>
          <w:tcPr>
            <w:tcW w:w="74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&lt; 0.01</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0.044</w:t>
            </w:r>
          </w:p>
        </w:tc>
        <w:tc>
          <w:tcPr>
            <w:tcW w:w="67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16/48</w:t>
            </w:r>
          </w:p>
        </w:tc>
        <w:tc>
          <w:tcPr>
            <w:tcW w:w="312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4"/>
                <w:szCs w:val="14"/>
              </w:rPr>
              <w:t>SPRR1B, KRT16, SPRR1A, SPRR3, COL3A1, IVL, COL1A2, WNT5A, ...</w:t>
            </w:r>
          </w:p>
        </w:tc>
      </w:tr>
      <w:tr w:rsidR="00833CD8">
        <w:tblPrEx>
          <w:tblCellMar>
            <w:top w:w="0" w:type="dxa"/>
            <w:bottom w:w="0" w:type="dxa"/>
          </w:tblCellMar>
        </w:tblPrEx>
        <w:trPr>
          <w:cantSplit/>
        </w:trPr>
        <w:tc>
          <w:tcPr>
            <w:tcW w:w="217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Heparan Sulfate Proteoglycan Biosynthetic Process</w:t>
            </w:r>
          </w:p>
        </w:tc>
        <w:tc>
          <w:tcPr>
            <w:tcW w:w="101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GO:0015012</w:t>
            </w:r>
          </w:p>
        </w:tc>
        <w:tc>
          <w:tcPr>
            <w:tcW w:w="61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−1.87</w:t>
            </w:r>
          </w:p>
        </w:tc>
        <w:tc>
          <w:tcPr>
            <w:tcW w:w="74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&lt; 0.01</w:t>
            </w:r>
          </w:p>
        </w:tc>
        <w:tc>
          <w:tcPr>
            <w:tcW w:w="67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0.049</w:t>
            </w:r>
          </w:p>
        </w:tc>
        <w:tc>
          <w:tcPr>
            <w:tcW w:w="67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9/17</w:t>
            </w:r>
          </w:p>
        </w:tc>
        <w:tc>
          <w:tcPr>
            <w:tcW w:w="312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HS6ST2, NDST4, HS3ST2, HS3ST3A1, HS6ST1, EXTL1, HS3ST1, UGDH, ...</w:t>
            </w:r>
          </w:p>
        </w:tc>
      </w:tr>
    </w:tbl>
    <w:p w:rsidR="00833CD8" w:rsidRDefault="00833CD8"/>
    <w:p w:rsidR="00833CD8" w:rsidRDefault="00A43542">
      <w:pPr>
        <w:pStyle w:val="Heading2"/>
        <w:keepNext/>
      </w:pPr>
      <w:r>
        <w:t>S3.6 Gene fusions</w:t>
      </w:r>
    </w:p>
    <w:p w:rsidR="00833CD8" w:rsidRDefault="00A43542">
      <w:pPr>
        <w:jc w:val="both"/>
      </w:pPr>
      <w:r>
        <w:rPr>
          <w:rFonts w:cs="Times New Roman"/>
        </w:rPr>
        <w:t>Table S7a summarizes the 271 candidate fusion events reported by the Gene fusion Detection module, and Table S7b gives the number of events per sample. Table S8 lists the</w:t>
      </w:r>
      <w:r>
        <w:rPr>
          <w:rFonts w:cs="Times New Roman"/>
        </w:rPr>
        <w:t xml:space="preserve"> 61 events supported by ten or more reads, and Table S9 groups the 28 in-frame events among them by gene. Values were taken from the Arriba visualizations, which give for each event the partner genes, the breakpoints, the split reads at each breakpoint, th</w:t>
      </w:r>
      <w:r>
        <w:rPr>
          <w:rFonts w:cs="Times New Roman"/>
        </w:rPr>
        <w:t>e discordant mates, the predicted reading frame and the retained protein domains. All 271 events are listed in Supplementary Data S1, and the visualizations are included in Supplementary Data S2. Recurrent events and intragenic events with closely spaced b</w:t>
      </w:r>
      <w:r>
        <w:rPr>
          <w:rFonts w:cs="Times New Roman"/>
        </w:rPr>
        <w:t>reakpoints are discussed in Section 3.4 of the main article.</w:t>
      </w:r>
    </w:p>
    <w:p w:rsidR="00833CD8" w:rsidRDefault="00833CD8"/>
    <w:p w:rsidR="00833CD8" w:rsidRDefault="00A43542">
      <w:pPr>
        <w:keepNext/>
        <w:jc w:val="both"/>
      </w:pPr>
      <w:r>
        <w:rPr>
          <w:rFonts w:cs="Times New Roman"/>
          <w:b/>
          <w:bCs/>
          <w:sz w:val="22"/>
          <w:szCs w:val="22"/>
        </w:rPr>
        <w:t>Table S7a.</w:t>
      </w:r>
      <w:r>
        <w:rPr>
          <w:rFonts w:cs="Times New Roman"/>
          <w:sz w:val="22"/>
          <w:szCs w:val="22"/>
        </w:rPr>
        <w:t xml:space="preserve"> Summary of the candidate fusion events retained by Arriba. Supporting reads are split reads at both breakpoints plus discordant mates. Five events are listed without supporting reads. Each of them </w:t>
      </w:r>
      <w:r>
        <w:rPr>
          <w:rFonts w:cs="Times New Roman"/>
          <w:sz w:val="22"/>
          <w:szCs w:val="22"/>
        </w:rPr>
        <w:lastRenderedPageBreak/>
        <w:t xml:space="preserve">joins the same gene pair as a supported event of the same </w:t>
      </w:r>
      <w:r>
        <w:rPr>
          <w:rFonts w:cs="Times New Roman"/>
          <w:sz w:val="22"/>
          <w:szCs w:val="22"/>
        </w:rPr>
        <w:t>sample, and four of them share a breakpoint with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59"/>
        <w:gridCol w:w="4367"/>
      </w:tblGrid>
      <w:tr w:rsidR="00833CD8">
        <w:tblPrEx>
          <w:tblCellMar>
            <w:top w:w="0" w:type="dxa"/>
            <w:bottom w:w="0" w:type="dxa"/>
          </w:tblCellMar>
        </w:tblPrEx>
        <w:trPr>
          <w:cantSplit/>
          <w:tblHeader/>
        </w:trPr>
        <w:tc>
          <w:tcPr>
            <w:tcW w:w="465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Measure</w:t>
            </w:r>
          </w:p>
        </w:tc>
        <w:tc>
          <w:tcPr>
            <w:tcW w:w="436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Value</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Samples analyzed</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39</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Samples with at least one event</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38</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Candidate events (IPF, control)</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271 (124, 147)</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Events per sample, median (range)</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6 (0 to 23)</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Distinct gene pairs, either orientation</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186</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Intrachromosomal events</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191 (70.5%)</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Both breakpoints within one gene</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51</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Predicted in frame</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54</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Predicted out of frame</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45</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No frame prediction, non-coding partner</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52</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No frame prediction, no protein domain retained</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27</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No frame prediction, other reasons</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93</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At least one retained protein domain</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172</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No retained protein domain</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99</w:t>
            </w:r>
          </w:p>
        </w:tc>
      </w:tr>
      <w:tr w:rsidR="00833CD8">
        <w:tblPrEx>
          <w:tblCellMar>
            <w:top w:w="0" w:type="dxa"/>
            <w:bottom w:w="0" w:type="dxa"/>
          </w:tblCellMar>
        </w:tblPrEx>
        <w:trPr>
          <w:cantSplit/>
        </w:trPr>
        <w:tc>
          <w:tcPr>
            <w:tcW w:w="465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Supporting reads per event, median (range)</w:t>
            </w:r>
          </w:p>
        </w:tc>
        <w:tc>
          <w:tcPr>
            <w:tcW w:w="436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 (0 to 67)</w:t>
            </w:r>
          </w:p>
        </w:tc>
      </w:tr>
      <w:tr w:rsidR="00833CD8">
        <w:tblPrEx>
          <w:tblCellMar>
            <w:top w:w="0" w:type="dxa"/>
            <w:bottom w:w="0" w:type="dxa"/>
          </w:tblCellMar>
        </w:tblPrEx>
        <w:trPr>
          <w:cantSplit/>
        </w:trPr>
        <w:tc>
          <w:tcPr>
            <w:tcW w:w="465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Events with ten or more supporting reads</w:t>
            </w:r>
          </w:p>
        </w:tc>
        <w:tc>
          <w:tcPr>
            <w:tcW w:w="436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61, of which 28 in frame</w:t>
            </w:r>
          </w:p>
        </w:tc>
      </w:tr>
    </w:tbl>
    <w:p w:rsidR="00833CD8" w:rsidRDefault="00833CD8"/>
    <w:p w:rsidR="00833CD8" w:rsidRDefault="00A43542">
      <w:pPr>
        <w:keepNext/>
        <w:jc w:val="both"/>
      </w:pPr>
      <w:r>
        <w:rPr>
          <w:rFonts w:cs="Times New Roman"/>
          <w:b/>
          <w:bCs/>
          <w:sz w:val="22"/>
          <w:szCs w:val="22"/>
        </w:rPr>
        <w:lastRenderedPageBreak/>
        <w:t>Table S7b.</w:t>
      </w:r>
      <w:r>
        <w:rPr>
          <w:rFonts w:cs="Times New Roman"/>
          <w:sz w:val="22"/>
          <w:szCs w:val="22"/>
        </w:rPr>
        <w:t xml:space="preserve"> Candidate fusion events per sample, by the reading frame predicted by Arriba.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67"/>
        <w:gridCol w:w="957"/>
        <w:gridCol w:w="821"/>
        <w:gridCol w:w="821"/>
        <w:gridCol w:w="957"/>
        <w:gridCol w:w="1094"/>
        <w:gridCol w:w="1094"/>
        <w:gridCol w:w="889"/>
        <w:gridCol w:w="1026"/>
      </w:tblGrid>
      <w:tr w:rsidR="00833CD8">
        <w:tblPrEx>
          <w:tblCellMar>
            <w:top w:w="0" w:type="dxa"/>
            <w:bottom w:w="0" w:type="dxa"/>
          </w:tblCellMar>
        </w:tblPrEx>
        <w:trPr>
          <w:cantSplit/>
          <w:tblHeader/>
        </w:trPr>
        <w:tc>
          <w:tcPr>
            <w:tcW w:w="1368"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Run</w:t>
            </w:r>
          </w:p>
        </w:tc>
        <w:tc>
          <w:tcPr>
            <w:tcW w:w="95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Group</w:t>
            </w:r>
          </w:p>
        </w:tc>
        <w:tc>
          <w:tcPr>
            <w:tcW w:w="82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Events</w:t>
            </w:r>
          </w:p>
        </w:tc>
        <w:tc>
          <w:tcPr>
            <w:tcW w:w="82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In frame</w:t>
            </w:r>
          </w:p>
        </w:tc>
        <w:tc>
          <w:tcPr>
            <w:tcW w:w="95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Out of frame</w:t>
            </w:r>
          </w:p>
        </w:tc>
        <w:tc>
          <w:tcPr>
            <w:tcW w:w="109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Non-coding partner</w:t>
            </w:r>
          </w:p>
        </w:tc>
        <w:tc>
          <w:tcPr>
            <w:tcW w:w="109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No domain retained</w:t>
            </w:r>
          </w:p>
        </w:tc>
        <w:tc>
          <w:tcPr>
            <w:tcW w:w="88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Not stated</w:t>
            </w:r>
          </w:p>
        </w:tc>
        <w:tc>
          <w:tcPr>
            <w:tcW w:w="1026"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Ten or more reads</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SRR5120903</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SRR5120904</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SRR5120905</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SRR5120906</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SRR5120907</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SRR5120908</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SRR5120909</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12</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SRR5120913</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SRR5120914</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SRR5120915</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SRR5120916</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SRR5120917</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11</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SRR5120918</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SRR5120919</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IPF</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SRR5120923</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SRR5120924</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9</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SRR5120925</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SRR5120926</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SRR5120927</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SRR5120928</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15</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SRR5120929</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SRR5120930</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SRR5120933</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16</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SRR5120934</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10</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SRR5120935</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SRR5120936</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23</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7</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SRR5120937</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8</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4</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SRR5120938</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5</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3</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SRR5120939</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Control</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6</w:t>
            </w:r>
          </w:p>
        </w:tc>
        <w:tc>
          <w:tcPr>
            <w:tcW w:w="82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9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2</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109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c>
          <w:tcPr>
            <w:tcW w:w="88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0</w:t>
            </w:r>
          </w:p>
        </w:tc>
        <w:tc>
          <w:tcPr>
            <w:tcW w:w="1026"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4"/>
                <w:szCs w:val="14"/>
              </w:rPr>
              <w:t>1</w:t>
            </w:r>
          </w:p>
        </w:tc>
      </w:tr>
      <w:tr w:rsidR="00833CD8">
        <w:tblPrEx>
          <w:tblCellMar>
            <w:top w:w="0" w:type="dxa"/>
            <w:bottom w:w="0" w:type="dxa"/>
          </w:tblCellMar>
        </w:tblPrEx>
        <w:trPr>
          <w:cantSplit/>
        </w:trPr>
        <w:tc>
          <w:tcPr>
            <w:tcW w:w="1368"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SRR5120940</w:t>
            </w:r>
          </w:p>
        </w:tc>
        <w:tc>
          <w:tcPr>
            <w:tcW w:w="95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82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2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w:t>
            </w:r>
          </w:p>
        </w:tc>
        <w:tc>
          <w:tcPr>
            <w:tcW w:w="95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w:t>
            </w:r>
          </w:p>
        </w:tc>
        <w:tc>
          <w:tcPr>
            <w:tcW w:w="109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w:t>
            </w:r>
          </w:p>
        </w:tc>
        <w:tc>
          <w:tcPr>
            <w:tcW w:w="109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88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w:t>
            </w:r>
          </w:p>
        </w:tc>
        <w:tc>
          <w:tcPr>
            <w:tcW w:w="1026"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r>
    </w:tbl>
    <w:p w:rsidR="00833CD8" w:rsidRDefault="00833CD8"/>
    <w:p w:rsidR="00833CD8" w:rsidRDefault="00A43542">
      <w:pPr>
        <w:keepNext/>
        <w:jc w:val="both"/>
      </w:pPr>
      <w:r>
        <w:rPr>
          <w:rFonts w:cs="Times New Roman"/>
          <w:b/>
          <w:bCs/>
          <w:sz w:val="22"/>
          <w:szCs w:val="22"/>
        </w:rPr>
        <w:t>Table S8.</w:t>
      </w:r>
      <w:r>
        <w:rPr>
          <w:rFonts w:cs="Times New Roman"/>
          <w:sz w:val="22"/>
          <w:szCs w:val="22"/>
        </w:rPr>
        <w:t xml:space="preserve"> Candidate fusion events supported by ten or more reads, ordered by total support. Split reads are given for the first and second breakpoints. Breakpoints are hg38 coordinates. Partners given as Ensembl identifiers had no gene symbol in the annotation, and</w:t>
      </w:r>
      <w:r>
        <w:rPr>
          <w:rFonts w:cs="Times New Roman"/>
          <w:sz w:val="22"/>
          <w:szCs w:val="22"/>
        </w:rPr>
        <w:t xml:space="preserve"> intergenic breakpoints are given as the two neighboring genes with their distances in base pairs. Discordant, discordant mates. Non-coding, one partner is non-coding. No domain, no protein domain retained.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5"/>
        <w:gridCol w:w="571"/>
        <w:gridCol w:w="1314"/>
        <w:gridCol w:w="1314"/>
        <w:gridCol w:w="1085"/>
        <w:gridCol w:w="1085"/>
        <w:gridCol w:w="571"/>
        <w:gridCol w:w="857"/>
        <w:gridCol w:w="457"/>
        <w:gridCol w:w="857"/>
      </w:tblGrid>
      <w:tr w:rsidR="00833CD8">
        <w:tblPrEx>
          <w:tblCellMar>
            <w:top w:w="0" w:type="dxa"/>
            <w:bottom w:w="0" w:type="dxa"/>
          </w:tblCellMar>
        </w:tblPrEx>
        <w:trPr>
          <w:cantSplit/>
          <w:tblHeader/>
        </w:trPr>
        <w:tc>
          <w:tcPr>
            <w:tcW w:w="91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Run</w:t>
            </w:r>
          </w:p>
        </w:tc>
        <w:tc>
          <w:tcPr>
            <w:tcW w:w="57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Group</w:t>
            </w:r>
          </w:p>
        </w:tc>
        <w:tc>
          <w:tcPr>
            <w:tcW w:w="131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Gene 1</w:t>
            </w:r>
          </w:p>
        </w:tc>
        <w:tc>
          <w:tcPr>
            <w:tcW w:w="1314"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Gene 2</w:t>
            </w:r>
          </w:p>
        </w:tc>
        <w:tc>
          <w:tcPr>
            <w:tcW w:w="108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Breakpoint 1</w:t>
            </w:r>
          </w:p>
        </w:tc>
        <w:tc>
          <w:tcPr>
            <w:tcW w:w="1085"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Breakpoint 2</w:t>
            </w:r>
          </w:p>
        </w:tc>
        <w:tc>
          <w:tcPr>
            <w:tcW w:w="57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Split reads</w:t>
            </w:r>
          </w:p>
        </w:tc>
        <w:tc>
          <w:tcPr>
            <w:tcW w:w="85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Discordant</w:t>
            </w:r>
          </w:p>
        </w:tc>
        <w:tc>
          <w:tcPr>
            <w:tcW w:w="45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Total</w:t>
            </w:r>
          </w:p>
        </w:tc>
        <w:tc>
          <w:tcPr>
            <w:tcW w:w="857"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4"/>
                <w:szCs w:val="14"/>
              </w:rPr>
              <w:t>Reading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MCCC1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IGKC</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chr3:183114981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chr2:88860920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0, 66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ENSG00000280441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IGHG1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chr21:8399806</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chr14:105741922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1, 40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21</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 domain</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GTF2A2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GTF2A2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chr15:59639132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chr15:59639144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31, 25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ENSG00000281181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IGHG1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chr21:8438037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chr14:105742177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2, 34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18</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 domain</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SFTPB</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ENSG00000226861 (29072), ENSG00000226990 (70121)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chr2:85658053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chr10:8330739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49, 1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IGF1R</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TTC23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chr15:98891637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chr15:99218469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11, 26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Out of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lastRenderedPageBreak/>
              <w:t>SRR5120911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ENSG00000280441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SCGB1A1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chr21:8392869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chr11:62419087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25</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ENSG00000280800</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SFTPA1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chr21:8210954</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chr10:79614900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13, 18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14, 16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ENSG00000290823</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LINC01237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chr15:101966223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chr2:242051920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6, 24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ENSG00000290823</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LINC01880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chr15:101966223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chr2:242051920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6, 24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WASH3P</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LINC01237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chr15:101966223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chr2:242051920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5, 24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WASH3P</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LINC01880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chr15:101966223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chr2:242051920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5, 24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SFTPB</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RTP3 (7683), LRRC2 (6752)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chr2:85658041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chr3:46508633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8, 17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6, 19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9, 16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NIPA2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NIPA2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chr15:22866767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chr15:22866765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16, 8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IGLV1-47</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CNNM4</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chr22:22358251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chr2:96807033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23, 0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 domain</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LMO7</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LMO7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chr13:75835201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chr13:75835196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13, 10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7, 15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CUL5</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SLC35F2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chr11:108078240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chr11:107878816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7, 10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Out of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ICAM1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ENSG00000282885</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chr19:10286452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chr14:49862798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11, 7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ENSG00000282885</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ICAM4-AS1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chr14:49862798</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chr19:10286452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7, 11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ENSG00000273259</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DHRS4L1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chr14:94624248</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chr14:23973250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18, 3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ENSG00000273259</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DHRS4L2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chr14:94624248</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chr14:23973250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18, 3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ENSG00000273259</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DHRS4-AS1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chr14:94624248</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chr14:23973250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18, 3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ICAM1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ENSG00000282885</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chr19:10286452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chr14:49862798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5, 7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ENSG00000282885</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ICAM4-AS1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chr14:49862798</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chr19:10286452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7, 5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PRUNE2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PRUNE2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chr9:76709219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chr9:76709230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7, 10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TRMO</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TRMO</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chr9:97904746</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chr9:97904754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8, 9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4, 12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7, 9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ENSG00000124593</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ENSG00000124593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chr6:41786259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chr6:41786251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9, 7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ENSG00000247765</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ENSG00000280881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chr15:21324988</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chr15:21330231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SFTPA2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ENSG00000280441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chr10:79557089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chr21:8393305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9</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IST1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IST1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chr16:71922614</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chr16:71922609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10, 4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TCIRG1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TCIRG1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chr11:68050530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chr11:68050525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11, 3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2, 11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CIMIP2B</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CIMIP2B</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chr9:35562400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chr9:35562403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2, 11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13</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SRR5120912</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3, 9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FHIP2B</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RNA5SP528 (163950), DEFB115 (277440)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chr8:22104277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chr20:30980224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3, 9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6, 6</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ENSG00000282885</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ENSG00000261759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chr14:49862787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chr16:19120163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5, 4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Non-coding</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ITPRIPL2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ENSG00000282885</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chr16:19120163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chr14:49862787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4, 5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2, 9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PRUNE2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PRUNE2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chr9:76709219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chr9:76709230</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SRR5120919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IST1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IST1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chr16:71922614</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chr16:71922609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ZNF417</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ZNF417</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chr19:57908955</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chr19:57908997</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4, 7</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11</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Out of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SRR5120905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IPF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ENSG00000280441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IGHG1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chr21:8398893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chr14:105742353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0, 4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 domain</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SRR5120924</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CTIF</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COX16</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chr18:48761693</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chr14:70359673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5, 5</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Out of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LAMB2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LAMB2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chr3:49126114</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chr3:49126159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1, 9</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Out of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SRR5120928</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SGMS2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SLC2A9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chr4:107911819</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chr4:9845736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6, 2</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Not stated</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SRR5120931</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CIMIP2B</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CIMIP2B</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chr9:35562400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chr9:35562403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6, 4</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SRR5120933</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LAMB2</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LAMB2</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chr3:49126114</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chr3:49126159</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0, 10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Out of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SRR5120936</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2, 8</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r w:rsidR="00833CD8">
        <w:tblPrEx>
          <w:tblCellMar>
            <w:top w:w="0" w:type="dxa"/>
            <w:bottom w:w="0" w:type="dxa"/>
          </w:tblCellMar>
        </w:tblPrEx>
        <w:trPr>
          <w:cantSplit/>
        </w:trPr>
        <w:tc>
          <w:tcPr>
            <w:tcW w:w="91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SRR5120938</w:t>
            </w:r>
          </w:p>
        </w:tc>
        <w:tc>
          <w:tcPr>
            <w:tcW w:w="57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Control</w:t>
            </w:r>
          </w:p>
        </w:tc>
        <w:tc>
          <w:tcPr>
            <w:tcW w:w="131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314"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4"/>
                <w:szCs w:val="14"/>
              </w:rPr>
              <w:t>ACIN1</w:t>
            </w:r>
          </w:p>
        </w:tc>
        <w:tc>
          <w:tcPr>
            <w:tcW w:w="108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chr14:23079590</w:t>
            </w:r>
          </w:p>
        </w:tc>
        <w:tc>
          <w:tcPr>
            <w:tcW w:w="1085"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chr14:23079595</w:t>
            </w:r>
          </w:p>
        </w:tc>
        <w:tc>
          <w:tcPr>
            <w:tcW w:w="57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3, 7</w:t>
            </w:r>
          </w:p>
        </w:tc>
        <w:tc>
          <w:tcPr>
            <w:tcW w:w="85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0</w:t>
            </w:r>
          </w:p>
        </w:tc>
        <w:tc>
          <w:tcPr>
            <w:tcW w:w="45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10</w:t>
            </w:r>
          </w:p>
        </w:tc>
        <w:tc>
          <w:tcPr>
            <w:tcW w:w="857"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4"/>
                <w:szCs w:val="14"/>
              </w:rPr>
              <w:t>In frame</w:t>
            </w:r>
          </w:p>
        </w:tc>
      </w:tr>
    </w:tbl>
    <w:p w:rsidR="00833CD8" w:rsidRDefault="00833CD8"/>
    <w:p w:rsidR="00833CD8" w:rsidRDefault="00A43542">
      <w:pPr>
        <w:keepNext/>
        <w:jc w:val="both"/>
      </w:pPr>
      <w:r>
        <w:rPr>
          <w:rFonts w:cs="Times New Roman"/>
          <w:b/>
          <w:bCs/>
          <w:sz w:val="22"/>
          <w:szCs w:val="22"/>
        </w:rPr>
        <w:lastRenderedPageBreak/>
        <w:t>Table S9.</w:t>
      </w:r>
      <w:r>
        <w:rPr>
          <w:rFonts w:cs="Times New Roman"/>
          <w:sz w:val="22"/>
          <w:szCs w:val="22"/>
        </w:rPr>
        <w:t xml:space="preserve"> In-frame fusion candidates supported by ten or more reads (split reads plus discordant mates), grouped by gene. All were intragenic. Retained protein domains are those reported by Arriba for the predicted product, and breakpoints are given in hg38 coordin</w:t>
      </w:r>
      <w:r>
        <w:rPr>
          <w:rFonts w:cs="Times New Roman"/>
          <w:sz w:val="22"/>
          <w:szCs w:val="22"/>
        </w:rPr>
        <w: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20"/>
        <w:gridCol w:w="2430"/>
        <w:gridCol w:w="903"/>
        <w:gridCol w:w="1180"/>
        <w:gridCol w:w="1041"/>
        <w:gridCol w:w="2152"/>
      </w:tblGrid>
      <w:tr w:rsidR="00833CD8">
        <w:tblPrEx>
          <w:tblCellMar>
            <w:top w:w="0" w:type="dxa"/>
            <w:bottom w:w="0" w:type="dxa"/>
          </w:tblCellMar>
        </w:tblPrEx>
        <w:trPr>
          <w:cantSplit/>
          <w:tblHeader/>
        </w:trPr>
        <w:tc>
          <w:tcPr>
            <w:tcW w:w="1319"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Gene</w:t>
            </w:r>
          </w:p>
        </w:tc>
        <w:tc>
          <w:tcPr>
            <w:tcW w:w="243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Breakpoints</w:t>
            </w:r>
          </w:p>
        </w:tc>
        <w:tc>
          <w:tcPr>
            <w:tcW w:w="903"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Distance (bp)</w:t>
            </w:r>
          </w:p>
        </w:tc>
        <w:tc>
          <w:tcPr>
            <w:tcW w:w="1180"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Samples (IPF, control)</w:t>
            </w:r>
          </w:p>
        </w:tc>
        <w:tc>
          <w:tcPr>
            <w:tcW w:w="1041"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Most supporting reads</w:t>
            </w:r>
          </w:p>
        </w:tc>
        <w:tc>
          <w:tcPr>
            <w:tcW w:w="2152" w:type="dxa"/>
            <w:tcBorders>
              <w:top w:val="single" w:sz="6" w:space="0" w:color="000000"/>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b/>
                <w:bCs/>
                <w:sz w:val="15"/>
                <w:szCs w:val="15"/>
              </w:rPr>
              <w:t>Retained protein domains</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ACIN1</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chr14:23079590 and 23079595</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9, 8</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30</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SAP domain, RNSP1-SAP18 binding (RSB) motif</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PRUNE2</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chr9:76709219 and 76709230</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11</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2, 0</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17</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DHHA2 domain, Divergent CRAL/TRIO domain, Bcl2-/adenovirus E1B nineteen kDa-interacting protein 2</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IST1</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chr16:71922614 and 71922609</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2, 0</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14</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Regulator of Vps4 activity in the MVB pathway</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CIMIP2B</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chr9:35562400 and 35562403</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3</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1, 1</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13</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Protein of unknown function (DUF2475), Protein of unknown function (DUF2475)</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NIPA2</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chr15:22866767 and 22866765</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0, 1</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24</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Magnesium transporter NIPA</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LMO7</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chr13:75835201 and 75835196</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5</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0, 1</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23</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Calponin homology (CH) domain, Domain of unknown function (DUF4757), PDZ domain, LIM domain</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TRMO</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chr9:97904746 and 97904754</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1, 0</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17</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tRNA-methyltransferase O</w:t>
            </w:r>
          </w:p>
        </w:tc>
      </w:tr>
      <w:tr w:rsidR="00833CD8">
        <w:tblPrEx>
          <w:tblCellMar>
            <w:top w:w="0" w:type="dxa"/>
            <w:bottom w:w="0" w:type="dxa"/>
          </w:tblCellMar>
        </w:tblPrEx>
        <w:trPr>
          <w:cantSplit/>
        </w:trPr>
        <w:tc>
          <w:tcPr>
            <w:tcW w:w="1319"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i/>
                <w:iCs/>
                <w:sz w:val="15"/>
                <w:szCs w:val="15"/>
              </w:rPr>
              <w:t>ENSG00000124593</w:t>
            </w:r>
          </w:p>
        </w:tc>
        <w:tc>
          <w:tcPr>
            <w:tcW w:w="243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chr6:41786259 and 41786251</w:t>
            </w:r>
          </w:p>
        </w:tc>
        <w:tc>
          <w:tcPr>
            <w:tcW w:w="903"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8</w:t>
            </w:r>
          </w:p>
        </w:tc>
        <w:tc>
          <w:tcPr>
            <w:tcW w:w="118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0, 1</w:t>
            </w:r>
          </w:p>
        </w:tc>
        <w:tc>
          <w:tcPr>
            <w:tcW w:w="1041"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16</w:t>
            </w:r>
          </w:p>
        </w:tc>
        <w:tc>
          <w:tcPr>
            <w:tcW w:w="2152"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rsidR="00833CD8" w:rsidRDefault="00A43542">
            <w:pPr>
              <w:keepNext/>
              <w:keepLines/>
              <w:spacing w:line="240" w:lineRule="auto"/>
            </w:pPr>
            <w:r>
              <w:rPr>
                <w:rFonts w:cs="Times New Roman"/>
                <w:sz w:val="15"/>
                <w:szCs w:val="15"/>
              </w:rPr>
              <w:t>PET Domain, LIM domain, LIM domain</w:t>
            </w:r>
          </w:p>
        </w:tc>
      </w:tr>
      <w:tr w:rsidR="00833CD8">
        <w:tblPrEx>
          <w:tblCellMar>
            <w:top w:w="0" w:type="dxa"/>
            <w:bottom w:w="0" w:type="dxa"/>
          </w:tblCellMar>
        </w:tblPrEx>
        <w:trPr>
          <w:cantSplit/>
        </w:trPr>
        <w:tc>
          <w:tcPr>
            <w:tcW w:w="1319"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i/>
                <w:iCs/>
                <w:sz w:val="15"/>
                <w:szCs w:val="15"/>
              </w:rPr>
              <w:t>TCIRG1</w:t>
            </w:r>
          </w:p>
        </w:tc>
        <w:tc>
          <w:tcPr>
            <w:tcW w:w="243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chr11:68050530 and 68050525</w:t>
            </w:r>
          </w:p>
        </w:tc>
        <w:tc>
          <w:tcPr>
            <w:tcW w:w="903"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5</w:t>
            </w:r>
          </w:p>
        </w:tc>
        <w:tc>
          <w:tcPr>
            <w:tcW w:w="1180"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0, 1</w:t>
            </w:r>
          </w:p>
        </w:tc>
        <w:tc>
          <w:tcPr>
            <w:tcW w:w="1041"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14</w:t>
            </w:r>
          </w:p>
        </w:tc>
        <w:tc>
          <w:tcPr>
            <w:tcW w:w="2152" w:type="dxa"/>
            <w:tcBorders>
              <w:top w:val="none" w:sz="0" w:space="0" w:color="FFFFFF"/>
              <w:left w:val="none" w:sz="0" w:space="0" w:color="FFFFFF"/>
              <w:bottom w:val="single" w:sz="6" w:space="0" w:color="000000"/>
              <w:right w:val="none" w:sz="0" w:space="0" w:color="FFFFFF"/>
            </w:tcBorders>
            <w:tcMar>
              <w:top w:w="30" w:type="dxa"/>
              <w:left w:w="60" w:type="dxa"/>
              <w:bottom w:w="30" w:type="dxa"/>
              <w:right w:w="60" w:type="dxa"/>
            </w:tcMar>
          </w:tcPr>
          <w:p w:rsidR="00833CD8" w:rsidRDefault="00A43542">
            <w:pPr>
              <w:keepLines/>
              <w:spacing w:line="240" w:lineRule="auto"/>
            </w:pPr>
            <w:r>
              <w:rPr>
                <w:rFonts w:cs="Times New Roman"/>
                <w:sz w:val="15"/>
                <w:szCs w:val="15"/>
              </w:rPr>
              <w:t>V-type ATPase 116kDa subunit family, V-type ATPase 116kDa subunit family</w:t>
            </w:r>
          </w:p>
        </w:tc>
      </w:tr>
    </w:tbl>
    <w:p w:rsidR="00833CD8" w:rsidRDefault="00833CD8"/>
    <w:p w:rsidR="00833CD8" w:rsidRDefault="00A43542">
      <w:pPr>
        <w:pStyle w:val="Heading2"/>
        <w:keepNext/>
      </w:pPr>
      <w:r>
        <w:t>S3.7 Supporting figures</w:t>
      </w:r>
    </w:p>
    <w:p w:rsidR="00833CD8" w:rsidRDefault="00A43542">
      <w:pPr>
        <w:jc w:val="both"/>
      </w:pPr>
      <w:r>
        <w:rPr>
          <w:rFonts w:cs="Times New Roman"/>
        </w:rPr>
        <w:t>Figs. S1 to S5 show further outputs of the platform for the case study. Fig. S1 compares read quality before and after trimming, Fig. S2 shows the diagnostics returned by the Gene Splicing module, and Fig. S3 shows additional outputs of the two optional mo</w:t>
      </w:r>
      <w:r>
        <w:rPr>
          <w:rFonts w:cs="Times New Roman"/>
        </w:rPr>
        <w:t>dules. Fig. S4 collects the outputs of the Quantification and DEG analysis modules that are not shown in the main article, and Fig. S5 shows the top-ranked differential junctions.</w:t>
      </w:r>
    </w:p>
    <w:p w:rsidR="00833CD8" w:rsidRDefault="00833CD8"/>
    <w:p w:rsidR="00833CD8" w:rsidRDefault="00A43542">
      <w:pPr>
        <w:keepNext/>
        <w:spacing w:line="240" w:lineRule="auto"/>
        <w:jc w:val="center"/>
      </w:pPr>
      <w:r>
        <w:rPr>
          <w:noProof/>
        </w:rPr>
        <w:lastRenderedPageBreak/>
        <w:drawing>
          <wp:inline distT="0" distB="0" distL="0" distR="0">
            <wp:extent cx="5734050" cy="681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6810375"/>
                    </a:xfrm>
                    <a:prstGeom prst="rect">
                      <a:avLst/>
                    </a:prstGeom>
                  </pic:spPr>
                </pic:pic>
              </a:graphicData>
            </a:graphic>
          </wp:inline>
        </w:drawing>
      </w:r>
    </w:p>
    <w:p w:rsidR="00833CD8" w:rsidRDefault="00A43542">
      <w:pPr>
        <w:jc w:val="both"/>
      </w:pPr>
      <w:r>
        <w:rPr>
          <w:rFonts w:cs="Times New Roman"/>
          <w:b/>
          <w:bCs/>
          <w:sz w:val="22"/>
          <w:szCs w:val="22"/>
        </w:rPr>
        <w:t>Fig. S1.</w:t>
      </w:r>
      <w:r>
        <w:rPr>
          <w:rFonts w:cs="Times New Roman"/>
          <w:sz w:val="22"/>
          <w:szCs w:val="22"/>
        </w:rPr>
        <w:t xml:space="preserve"> Read quality before and after trimming, from the MultiQC reports of the Pre-trim QC and Post-trim QC modules. (a, b) Mean quality score along the read for the 78 raw files (a) and the 78 trimmed files (b). (c, d) Adapter content along the read before (c) </w:t>
      </w:r>
      <w:r>
        <w:rPr>
          <w:rFonts w:cs="Times New Roman"/>
          <w:sz w:val="22"/>
          <w:szCs w:val="22"/>
        </w:rPr>
        <w:t>and after (d) trimming. (e) Length distribution of the trimmed reads. (f) Number of sequences in each trimmed file, divided into unique and duplicate reads.</w:t>
      </w:r>
    </w:p>
    <w:p w:rsidR="00833CD8" w:rsidRDefault="00833CD8"/>
    <w:p w:rsidR="00833CD8" w:rsidRDefault="00A43542">
      <w:pPr>
        <w:keepNext/>
        <w:spacing w:line="240" w:lineRule="auto"/>
        <w:jc w:val="center"/>
      </w:pPr>
      <w:r>
        <w:rPr>
          <w:noProof/>
        </w:rPr>
        <w:lastRenderedPageBreak/>
        <w:drawing>
          <wp:inline distT="0" distB="0" distL="0" distR="0">
            <wp:extent cx="4752975" cy="729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7296150"/>
                    </a:xfrm>
                    <a:prstGeom prst="rect">
                      <a:avLst/>
                    </a:prstGeom>
                  </pic:spPr>
                </pic:pic>
              </a:graphicData>
            </a:graphic>
          </wp:inline>
        </w:drawing>
      </w:r>
    </w:p>
    <w:p w:rsidR="00833CD8" w:rsidRDefault="00A43542">
      <w:pPr>
        <w:jc w:val="both"/>
      </w:pPr>
      <w:r>
        <w:rPr>
          <w:rFonts w:cs="Times New Roman"/>
          <w:b/>
          <w:bCs/>
          <w:sz w:val="22"/>
          <w:szCs w:val="22"/>
        </w:rPr>
        <w:t>Fig. S2.</w:t>
      </w:r>
      <w:r>
        <w:rPr>
          <w:rFonts w:cs="Times New Roman"/>
          <w:sz w:val="22"/>
          <w:szCs w:val="22"/>
        </w:rPr>
        <w:t xml:space="preserve"> Diagnostics from the splicekit report of the Gene Splicing module. (a) Library size per</w:t>
      </w:r>
      <w:r>
        <w:rPr>
          <w:rFonts w:cs="Times New Roman"/>
          <w:sz w:val="22"/>
          <w:szCs w:val="22"/>
        </w:rPr>
        <w:t xml:space="preserve"> sample. (b) Sample-to-sample correlation. (c) Principal component analysis of the samples. (d, e) Distribution of P values for gene-level features (d) and junctions (e). (f, g) MA plots of differential junctions (f) and gene-level features (g).</w:t>
      </w:r>
    </w:p>
    <w:p w:rsidR="00833CD8" w:rsidRDefault="00833CD8"/>
    <w:p w:rsidR="00833CD8" w:rsidRDefault="00A43542">
      <w:pPr>
        <w:keepNext/>
        <w:spacing w:line="240" w:lineRule="auto"/>
        <w:jc w:val="center"/>
      </w:pPr>
      <w:r>
        <w:rPr>
          <w:noProof/>
        </w:rPr>
        <w:lastRenderedPageBreak/>
        <w:drawing>
          <wp:inline distT="0" distB="0" distL="0" distR="0">
            <wp:extent cx="5210175" cy="664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6648450"/>
                    </a:xfrm>
                    <a:prstGeom prst="rect">
                      <a:avLst/>
                    </a:prstGeom>
                  </pic:spPr>
                </pic:pic>
              </a:graphicData>
            </a:graphic>
          </wp:inline>
        </w:drawing>
      </w:r>
    </w:p>
    <w:p w:rsidR="00833CD8" w:rsidRDefault="00A43542">
      <w:pPr>
        <w:jc w:val="both"/>
      </w:pPr>
      <w:r>
        <w:rPr>
          <w:rFonts w:cs="Times New Roman"/>
          <w:b/>
          <w:bCs/>
          <w:sz w:val="22"/>
          <w:szCs w:val="22"/>
        </w:rPr>
        <w:t>Fig. S3</w:t>
      </w:r>
      <w:r>
        <w:rPr>
          <w:rFonts w:cs="Times New Roman"/>
          <w:b/>
          <w:bCs/>
          <w:sz w:val="22"/>
          <w:szCs w:val="22"/>
        </w:rPr>
        <w:t>.</w:t>
      </w:r>
      <w:r>
        <w:rPr>
          <w:rFonts w:cs="Times New Roman"/>
          <w:sz w:val="22"/>
          <w:szCs w:val="22"/>
        </w:rPr>
        <w:t xml:space="preserve"> Additional outputs of the optional modules. (a) Row-scaled values of the 50 most significant gene-level features across the 39 samples, from the splicekit report. (b) Arriba visualization of the recurrent intragenic </w:t>
      </w:r>
      <w:r>
        <w:rPr>
          <w:rFonts w:cs="Times New Roman"/>
          <w:i/>
          <w:iCs/>
          <w:sz w:val="22"/>
          <w:szCs w:val="22"/>
        </w:rPr>
        <w:t>ACIN1</w:t>
      </w:r>
      <w:r>
        <w:rPr>
          <w:rFonts w:cs="Times New Roman"/>
          <w:sz w:val="22"/>
          <w:szCs w:val="22"/>
        </w:rPr>
        <w:t xml:space="preserve"> event in SRR5120903, one of the </w:t>
      </w:r>
      <w:r>
        <w:rPr>
          <w:rFonts w:cs="Times New Roman"/>
          <w:sz w:val="22"/>
          <w:szCs w:val="22"/>
        </w:rPr>
        <w:t>19 samples in which it was found. The breakpoints lie 5 bp apart, the event is predicted to be in frame and 30 reads support it.</w:t>
      </w:r>
    </w:p>
    <w:p w:rsidR="00833CD8" w:rsidRDefault="00833CD8"/>
    <w:p w:rsidR="00833CD8" w:rsidRDefault="00A43542">
      <w:pPr>
        <w:keepNext/>
        <w:spacing w:line="240" w:lineRule="auto"/>
        <w:jc w:val="center"/>
      </w:pPr>
      <w:r>
        <w:rPr>
          <w:noProof/>
        </w:rPr>
        <w:lastRenderedPageBreak/>
        <w:drawing>
          <wp:inline distT="0" distB="0" distL="0" distR="0">
            <wp:extent cx="5734050" cy="480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4800600"/>
                    </a:xfrm>
                    <a:prstGeom prst="rect">
                      <a:avLst/>
                    </a:prstGeom>
                  </pic:spPr>
                </pic:pic>
              </a:graphicData>
            </a:graphic>
          </wp:inline>
        </w:drawing>
      </w:r>
    </w:p>
    <w:p w:rsidR="00833CD8" w:rsidRDefault="00A43542">
      <w:pPr>
        <w:jc w:val="both"/>
      </w:pPr>
      <w:r>
        <w:rPr>
          <w:rFonts w:cs="Times New Roman"/>
          <w:b/>
          <w:bCs/>
          <w:sz w:val="22"/>
          <w:szCs w:val="22"/>
        </w:rPr>
        <w:t>Fig. S4.</w:t>
      </w:r>
      <w:r>
        <w:rPr>
          <w:rFonts w:cs="Times New Roman"/>
          <w:sz w:val="22"/>
          <w:szCs w:val="22"/>
        </w:rPr>
        <w:t xml:space="preserve"> Further outputs of the Quantification and DEG analysis modules. (a) Mean share of counted read pairs in each HTSeq-</w:t>
      </w:r>
      <w:r>
        <w:rPr>
          <w:rFonts w:cs="Times New Roman"/>
          <w:sz w:val="22"/>
          <w:szCs w:val="22"/>
        </w:rPr>
        <w:t>count category across the 39 samples. (b) MA plot of the contrast of control with IPF, with differentially expressed features in red. Fold changes are control relative to IPF, so features raised in IPF lie at negative values. (c) Clustered heatmap of row-s</w:t>
      </w:r>
      <w:r>
        <w:rPr>
          <w:rFonts w:cs="Times New Roman"/>
          <w:sz w:val="22"/>
          <w:szCs w:val="22"/>
        </w:rPr>
        <w:t xml:space="preserve">caled expression for the features selected by the module, labeled by UniProt accession. (d) Bubble chart of the 15 GO Biological Process terms of Fig. 4 of the main article, plotted against the Enrichr combined score, colored by adjusted P value and sized </w:t>
      </w:r>
      <w:r>
        <w:rPr>
          <w:rFonts w:cs="Times New Roman"/>
          <w:sz w:val="22"/>
          <w:szCs w:val="22"/>
        </w:rPr>
        <w:t>by the overlap between the input list and the term.</w:t>
      </w:r>
    </w:p>
    <w:p w:rsidR="00833CD8" w:rsidRDefault="00833CD8"/>
    <w:p w:rsidR="00833CD8" w:rsidRDefault="00A43542">
      <w:pPr>
        <w:keepNext/>
        <w:spacing w:line="240" w:lineRule="auto"/>
        <w:jc w:val="center"/>
      </w:pPr>
      <w:r>
        <w:rPr>
          <w:noProof/>
        </w:rPr>
        <w:lastRenderedPageBreak/>
        <w:drawing>
          <wp:inline distT="0" distB="0" distL="0" distR="0">
            <wp:extent cx="5734050" cy="2914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914650"/>
                    </a:xfrm>
                    <a:prstGeom prst="rect">
                      <a:avLst/>
                    </a:prstGeom>
                  </pic:spPr>
                </pic:pic>
              </a:graphicData>
            </a:graphic>
          </wp:inline>
        </w:drawing>
      </w:r>
    </w:p>
    <w:p w:rsidR="00833CD8" w:rsidRDefault="00A43542">
      <w:pPr>
        <w:jc w:val="both"/>
      </w:pPr>
      <w:r>
        <w:rPr>
          <w:rFonts w:cs="Times New Roman"/>
          <w:b/>
          <w:bCs/>
          <w:sz w:val="22"/>
          <w:szCs w:val="22"/>
        </w:rPr>
        <w:t>Fig. S5.</w:t>
      </w:r>
      <w:r>
        <w:rPr>
          <w:rFonts w:cs="Times New Roman"/>
          <w:sz w:val="22"/>
          <w:szCs w:val="22"/>
        </w:rPr>
        <w:t xml:space="preserve"> Row-scaled values of the 50 most significant differential junctions across the 39 samples, from the splicekit report of the Gene Splicing module. The samples are ordered with the IPF samples (</w:t>
      </w:r>
      <w:r>
        <w:rPr>
          <w:rFonts w:cs="Times New Roman"/>
          <w:sz w:val="22"/>
          <w:szCs w:val="22"/>
        </w:rPr>
        <w:t>SRR5120902 to SRR5120921) first.</w:t>
      </w:r>
    </w:p>
    <w:p w:rsidR="00833CD8" w:rsidRDefault="00833CD8"/>
    <w:p w:rsidR="00833CD8" w:rsidRDefault="00A43542">
      <w:pPr>
        <w:pStyle w:val="Heading2"/>
        <w:keepNext/>
      </w:pPr>
      <w:r>
        <w:t>S3.8 Further observations</w:t>
      </w:r>
    </w:p>
    <w:p w:rsidR="00833CD8" w:rsidRDefault="00A43542">
      <w:pPr>
        <w:jc w:val="both"/>
      </w:pPr>
      <w:r>
        <w:rPr>
          <w:rFonts w:cs="Times New Roman"/>
        </w:rPr>
        <w:t xml:space="preserve">Several values summarized in the main article are given here in more detail. Every FASTQ file was flagged by FastQC for per-base sequence content, a known effect of random-hexamer priming, and 18 </w:t>
      </w:r>
      <w:r>
        <w:rPr>
          <w:rFonts w:cs="Times New Roman"/>
        </w:rPr>
        <w:t>files received a warning or a failure for GC content, which fits the mixed composition of lung tissue. Sequencing depth was 48.3 ± 8.1 million read pairs in the IPF samples and 48.3 ± 8.2 million in the controls. STAR produced 15.7 million spliced alignmen</w:t>
      </w:r>
      <w:r>
        <w:rPr>
          <w:rFonts w:cs="Times New Roman"/>
        </w:rPr>
        <w:t>ts per sample on average, and 98.6% of them crossed annotated junctions. HTSeq-count assigned 8.8 million read pairs per sample on average to a single feature.</w:t>
      </w:r>
    </w:p>
    <w:p w:rsidR="00833CD8" w:rsidRDefault="00A43542">
      <w:pPr>
        <w:jc w:val="both"/>
      </w:pPr>
      <w:r>
        <w:rPr>
          <w:rFonts w:cs="Times New Roman"/>
        </w:rPr>
        <w:t>Arriba reported a median of six candidate fusion events per sample. Most recurrent events occurr</w:t>
      </w:r>
      <w:r>
        <w:rPr>
          <w:rFonts w:cs="Times New Roman"/>
        </w:rPr>
        <w:t xml:space="preserve">ed in both groups, although the event joining </w:t>
      </w:r>
      <w:r>
        <w:rPr>
          <w:rFonts w:cs="Times New Roman"/>
          <w:i/>
          <w:iCs/>
        </w:rPr>
        <w:t>WSB1</w:t>
      </w:r>
      <w:r>
        <w:rPr>
          <w:rFonts w:cs="Times New Roman"/>
        </w:rPr>
        <w:t xml:space="preserve"> and </w:t>
      </w:r>
      <w:r>
        <w:rPr>
          <w:rFonts w:cs="Times New Roman"/>
          <w:i/>
          <w:iCs/>
        </w:rPr>
        <w:t>S100A3</w:t>
      </w:r>
      <w:r>
        <w:rPr>
          <w:rFonts w:cs="Times New Roman"/>
        </w:rPr>
        <w:t xml:space="preserve"> was found only in six control samples. At least one retained protein domain was reported for 172 of the 271 events. Among the 28 in-frame events with ten or more supporting reads, which involve </w:t>
      </w:r>
      <w:r>
        <w:rPr>
          <w:rFonts w:cs="Times New Roman"/>
        </w:rPr>
        <w:t>nine distinct genes, the breakpoints were 2 to 11 bp apart (Table S9).</w:t>
      </w:r>
    </w:p>
    <w:p w:rsidR="00833CD8" w:rsidRDefault="00833CD8"/>
    <w:p w:rsidR="00833CD8" w:rsidRDefault="00A43542">
      <w:pPr>
        <w:pStyle w:val="Heading1"/>
        <w:keepNext/>
      </w:pPr>
      <w:r>
        <w:t>S4 Independent reproduction of the differential expression result</w:t>
      </w:r>
    </w:p>
    <w:p w:rsidR="00833CD8" w:rsidRDefault="00833CD8">
      <w:pPr>
        <w:keepNext/>
      </w:pPr>
    </w:p>
    <w:p w:rsidR="00833CD8" w:rsidRDefault="00A43542">
      <w:pPr>
        <w:pStyle w:val="Heading2"/>
        <w:keepNext/>
      </w:pPr>
      <w:r>
        <w:t>S4.1 Procedure</w:t>
      </w:r>
    </w:p>
    <w:p w:rsidR="00833CD8" w:rsidRDefault="00A43542">
      <w:pPr>
        <w:jc w:val="both"/>
      </w:pPr>
      <w:r>
        <w:rPr>
          <w:rFonts w:cs="Times New Roman"/>
        </w:rPr>
        <w:t>The annotated count matrix (annotated_counts_IPF.csv) and the sample metadata (IPF_meta_data.csv) were</w:t>
      </w:r>
      <w:r>
        <w:rPr>
          <w:rFonts w:cs="Times New Roman"/>
        </w:rPr>
        <w:t xml:space="preserve"> exported from the platform and analyzed on a separate computer with PyDESeq2 0.5.4 [14]. The 39 samples were matched to their groups by run accession. </w:t>
      </w:r>
      <w:r>
        <w:rPr>
          <w:rFonts w:cs="Times New Roman"/>
        </w:rPr>
        <w:lastRenderedPageBreak/>
        <w:t>Features with no reads in any sample were removed, which left 33,877 features. The Group column of the m</w:t>
      </w:r>
      <w:r>
        <w:rPr>
          <w:rFonts w:cs="Times New Roman"/>
        </w:rPr>
        <w:t xml:space="preserve">etadata table served as the condition. The design was ~Condition, and the contrast was control against IPF, as in the platform, so fold changes were expressed as control relative to IPF. Size factors, dispersions, Wald tests and the Benjamini and Hochberg </w:t>
      </w:r>
      <w:r>
        <w:rPr>
          <w:rFonts w:cs="Times New Roman"/>
        </w:rPr>
        <w:t>adjustment used the defaults of PyDESeq2, including its independent filtering, which kept 22,054 of the 33,877 features for the adjustment. Features with a baseMean below 10 were then set aside, and differential expression was called at an adjusted P below</w:t>
      </w:r>
      <w:r>
        <w:rPr>
          <w:rFonts w:cs="Times New Roman"/>
        </w:rPr>
        <w:t xml:space="preserve"> 0.05 and an absolute log</w:t>
      </w:r>
      <w:r>
        <w:rPr>
          <w:rFonts w:cs="Times New Roman"/>
          <w:vertAlign w:val="subscript"/>
        </w:rPr>
        <w:t>2</w:t>
      </w:r>
      <w:r>
        <w:rPr>
          <w:rFonts w:cs="Times New Roman"/>
        </w:rPr>
        <w:t xml:space="preserve"> fold change above 0.5. The platform's result table was opened only after this analysis was complete.</w:t>
      </w:r>
    </w:p>
    <w:p w:rsidR="00833CD8" w:rsidRDefault="00833CD8"/>
    <w:p w:rsidR="00833CD8" w:rsidRDefault="00A43542">
      <w:pPr>
        <w:pStyle w:val="Heading2"/>
        <w:keepNext/>
      </w:pPr>
      <w:r>
        <w:t>S4.2 Agreement with the platform</w:t>
      </w:r>
    </w:p>
    <w:p w:rsidR="00833CD8" w:rsidRDefault="00A43542">
      <w:pPr>
        <w:jc w:val="both"/>
      </w:pPr>
      <w:r>
        <w:rPr>
          <w:rFonts w:cs="Times New Roman"/>
        </w:rPr>
        <w:t>The baseMean filter left the same 10,484 features as in the platform's result table. Both analyses called the same 3,464 features differentially expressed, 1,714 up-regulated and 1,750 down-regulated, and no feature was called differently. Base means agree</w:t>
      </w:r>
      <w:r>
        <w:rPr>
          <w:rFonts w:cs="Times New Roman"/>
        </w:rPr>
        <w:t>d to within 1.5 × 10</w:t>
      </w:r>
      <w:r>
        <w:rPr>
          <w:rFonts w:cs="Times New Roman"/>
          <w:vertAlign w:val="superscript"/>
        </w:rPr>
        <w:t>−10</w:t>
      </w:r>
      <w:r>
        <w:rPr>
          <w:rFonts w:cs="Times New Roman"/>
        </w:rPr>
        <w:t>, and log</w:t>
      </w:r>
      <w:r>
        <w:rPr>
          <w:rFonts w:cs="Times New Roman"/>
          <w:vertAlign w:val="subscript"/>
        </w:rPr>
        <w:t>2</w:t>
      </w:r>
      <w:r>
        <w:rPr>
          <w:rFonts w:cs="Times New Roman"/>
        </w:rPr>
        <w:t xml:space="preserve"> fold changes agreed to within 1.1 × 10</w:t>
      </w:r>
      <w:r>
        <w:rPr>
          <w:rFonts w:cs="Times New Roman"/>
          <w:vertAlign w:val="superscript"/>
        </w:rPr>
        <w:t>−4</w:t>
      </w:r>
      <w:r>
        <w:rPr>
          <w:rFonts w:cs="Times New Roman"/>
        </w:rPr>
        <w:t>. Adjusted P values agreed to within 0.001 for 10,473 features. For the remaining 11 features the largest difference was 0.036, and none of these differences changed a significance c</w:t>
      </w:r>
      <w:r>
        <w:rPr>
          <w:rFonts w:cs="Times New Roman"/>
        </w:rPr>
        <w:t>all. Small differences of this kind are expected from the numerical optimization used to fit dispersions. The per-feature comparison is given in Supplementary Data S1.</w:t>
      </w:r>
    </w:p>
    <w:p w:rsidR="00833CD8" w:rsidRDefault="00833CD8"/>
    <w:p w:rsidR="00833CD8" w:rsidRDefault="00A43542">
      <w:pPr>
        <w:pStyle w:val="Heading1"/>
        <w:keepNext/>
      </w:pPr>
      <w:r>
        <w:t>S5 Pseudocode of the pipeline driver</w:t>
      </w:r>
    </w:p>
    <w:p w:rsidR="00833CD8" w:rsidRDefault="00A43542">
      <w:pPr>
        <w:jc w:val="both"/>
      </w:pPr>
      <w:r>
        <w:rPr>
          <w:rFonts w:cs="Times New Roman"/>
        </w:rPr>
        <w:t xml:space="preserve">Algorithm 1 is the driver of the main RNA-seq path. It chains the stages through a single job identifier, supports partial runs that resume from a completed stage and records the outcome of every stage. Algorithm 2 gives the seven stages it invokes, which </w:t>
      </w:r>
      <w:r>
        <w:rPr>
          <w:rFonts w:cs="Times New Roman"/>
        </w:rPr>
        <w:t>correspond to the Pre-trim QC, Trimming, Alignment, Pre-quantification, Quantification, Annotation and DEG analysis modules of Table 2 of the main article. Each stage invokes the same service function as the corresponding web route, with the same arguments</w:t>
      </w:r>
      <w:r>
        <w:rPr>
          <w:rFonts w:cs="Times New Roman"/>
        </w:rPr>
        <w:t>.</w:t>
      </w:r>
    </w:p>
    <w:p w:rsidR="00833CD8" w:rsidRDefault="00833CD8"/>
    <w:p w:rsidR="00833CD8" w:rsidRDefault="00A43542">
      <w:pPr>
        <w:spacing w:line="300" w:lineRule="auto"/>
        <w:ind w:left="360"/>
      </w:pPr>
      <w:r>
        <w:rPr>
          <w:rFonts w:cs="Times New Roman"/>
          <w:b/>
          <w:bCs/>
          <w:sz w:val="21"/>
          <w:szCs w:val="21"/>
        </w:rPr>
        <w:t>Algorithm 1. RNA-seq differential expression pipeline (driver)</w:t>
      </w:r>
    </w:p>
    <w:p w:rsidR="00833CD8" w:rsidRDefault="00A43542">
      <w:pPr>
        <w:spacing w:line="300" w:lineRule="auto"/>
        <w:ind w:left="1080" w:hanging="720"/>
      </w:pPr>
      <w:r>
        <w:rPr>
          <w:rFonts w:cs="Times New Roman"/>
          <w:b/>
          <w:bCs/>
          <w:sz w:val="20"/>
          <w:szCs w:val="20"/>
        </w:rPr>
        <w:t>Input</w:t>
      </w:r>
      <w:r>
        <w:rPr>
          <w:rFonts w:cs="Times New Roman"/>
          <w:sz w:val="20"/>
          <w:szCs w:val="20"/>
        </w:rPr>
        <w:t xml:space="preserve"> R, reads in FASTQ format, paired-end or single-end, given as a registered dataset or a directory</w:t>
      </w:r>
    </w:p>
    <w:p w:rsidR="00833CD8" w:rsidRDefault="00A43542">
      <w:pPr>
        <w:spacing w:line="300" w:lineRule="auto"/>
        <w:ind w:left="1080" w:hanging="720"/>
      </w:pPr>
      <w:r>
        <w:rPr>
          <w:rFonts w:cs="Times New Roman"/>
          <w:sz w:val="20"/>
          <w:szCs w:val="20"/>
        </w:rPr>
        <w:t>G, reference genome name, which resolves through the configuration to the STAR genome i</w:t>
      </w:r>
      <w:r>
        <w:rPr>
          <w:rFonts w:cs="Times New Roman"/>
          <w:sz w:val="20"/>
          <w:szCs w:val="20"/>
        </w:rPr>
        <w:t>ndex I</w:t>
      </w:r>
      <w:r>
        <w:rPr>
          <w:rFonts w:cs="Times New Roman"/>
          <w:sz w:val="20"/>
          <w:szCs w:val="20"/>
          <w:vertAlign w:val="subscript"/>
        </w:rPr>
        <w:t>G</w:t>
      </w:r>
      <w:r>
        <w:rPr>
          <w:rFonts w:cs="Times New Roman"/>
          <w:sz w:val="20"/>
          <w:szCs w:val="20"/>
        </w:rPr>
        <w:t>, the GTF annotation A</w:t>
      </w:r>
      <w:r>
        <w:rPr>
          <w:rFonts w:cs="Times New Roman"/>
          <w:sz w:val="20"/>
          <w:szCs w:val="20"/>
          <w:vertAlign w:val="subscript"/>
        </w:rPr>
        <w:t>G</w:t>
      </w:r>
      <w:r>
        <w:rPr>
          <w:rFonts w:cs="Times New Roman"/>
          <w:sz w:val="20"/>
          <w:szCs w:val="20"/>
        </w:rPr>
        <w:t xml:space="preserve"> and the gene annotation table Q</w:t>
      </w:r>
      <w:r>
        <w:rPr>
          <w:rFonts w:cs="Times New Roman"/>
          <w:sz w:val="20"/>
          <w:szCs w:val="20"/>
          <w:vertAlign w:val="subscript"/>
        </w:rPr>
        <w:t>G</w:t>
      </w:r>
    </w:p>
    <w:p w:rsidR="00833CD8" w:rsidRDefault="00A43542">
      <w:pPr>
        <w:spacing w:line="300" w:lineRule="auto"/>
        <w:ind w:left="1080" w:hanging="720"/>
      </w:pPr>
      <w:r>
        <w:rPr>
          <w:rFonts w:cs="Times New Roman"/>
          <w:sz w:val="20"/>
          <w:szCs w:val="20"/>
        </w:rPr>
        <w:t>P, θ</w:t>
      </w:r>
      <w:r>
        <w:rPr>
          <w:rFonts w:cs="Times New Roman"/>
          <w:sz w:val="20"/>
          <w:szCs w:val="20"/>
          <w:vertAlign w:val="subscript"/>
        </w:rPr>
        <w:t>trim</w:t>
      </w:r>
      <w:r>
        <w:rPr>
          <w:rFonts w:cs="Times New Roman"/>
          <w:sz w:val="20"/>
          <w:szCs w:val="20"/>
        </w:rPr>
        <w:t>, adapter file and trimming parameters (leading, trailing, sliding window, minimum length, Phred encoding, head and tail crop)</w:t>
      </w:r>
    </w:p>
    <w:p w:rsidR="00833CD8" w:rsidRDefault="00A43542">
      <w:pPr>
        <w:spacing w:line="300" w:lineRule="auto"/>
        <w:ind w:left="1080" w:hanging="720"/>
      </w:pPr>
      <w:r>
        <w:rPr>
          <w:rFonts w:cs="Times New Roman"/>
          <w:sz w:val="20"/>
          <w:szCs w:val="20"/>
        </w:rPr>
        <w:t>q, θ</w:t>
      </w:r>
      <w:r>
        <w:rPr>
          <w:rFonts w:cs="Times New Roman"/>
          <w:sz w:val="20"/>
          <w:szCs w:val="20"/>
          <w:vertAlign w:val="subscript"/>
        </w:rPr>
        <w:t>q</w:t>
      </w:r>
      <w:r>
        <w:rPr>
          <w:rFonts w:cs="Times New Roman"/>
          <w:sz w:val="20"/>
          <w:szCs w:val="20"/>
        </w:rPr>
        <w:t>, quantifier q ∈ {featureCounts, htseq-count} and it</w:t>
      </w:r>
      <w:r>
        <w:rPr>
          <w:rFonts w:cs="Times New Roman"/>
          <w:sz w:val="20"/>
          <w:szCs w:val="20"/>
        </w:rPr>
        <w:t>s parameters (feature type, attribute, strandedness, paired-end flag)</w:t>
      </w:r>
    </w:p>
    <w:p w:rsidR="00833CD8" w:rsidRDefault="00A43542">
      <w:pPr>
        <w:spacing w:line="300" w:lineRule="auto"/>
        <w:ind w:left="1080" w:hanging="720"/>
      </w:pPr>
      <w:r>
        <w:rPr>
          <w:rFonts w:cs="Times New Roman"/>
          <w:sz w:val="20"/>
          <w:szCs w:val="20"/>
        </w:rPr>
        <w:t>M, (c</w:t>
      </w:r>
      <w:r>
        <w:rPr>
          <w:rFonts w:cs="Times New Roman"/>
          <w:sz w:val="20"/>
          <w:szCs w:val="20"/>
          <w:vertAlign w:val="subscript"/>
        </w:rPr>
        <w:t>1</w:t>
      </w:r>
      <w:r>
        <w:rPr>
          <w:rFonts w:cs="Times New Roman"/>
          <w:sz w:val="20"/>
          <w:szCs w:val="20"/>
        </w:rPr>
        <w:t>, c</w:t>
      </w:r>
      <w:r>
        <w:rPr>
          <w:rFonts w:cs="Times New Roman"/>
          <w:sz w:val="20"/>
          <w:szCs w:val="20"/>
          <w:vertAlign w:val="subscript"/>
        </w:rPr>
        <w:t>2</w:t>
      </w:r>
      <w:r>
        <w:rPr>
          <w:rFonts w:cs="Times New Roman"/>
          <w:sz w:val="20"/>
          <w:szCs w:val="20"/>
        </w:rPr>
        <w:t>), sample to condition map and contrast (both optional)</w:t>
      </w:r>
    </w:p>
    <w:p w:rsidR="00833CD8" w:rsidRDefault="00A43542">
      <w:pPr>
        <w:spacing w:line="300" w:lineRule="auto"/>
        <w:ind w:left="1080" w:hanging="720"/>
      </w:pPr>
      <w:r>
        <w:rPr>
          <w:rFonts w:cs="Times New Roman"/>
          <w:sz w:val="20"/>
          <w:szCs w:val="20"/>
        </w:rPr>
        <w:t>S, stages to run, S ⊆ ⟨1, …, 7⟩ in pipeline order (default all)</w:t>
      </w:r>
    </w:p>
    <w:p w:rsidR="00833CD8" w:rsidRDefault="00A43542">
      <w:pPr>
        <w:spacing w:line="300" w:lineRule="auto"/>
        <w:ind w:left="1080" w:hanging="720"/>
      </w:pPr>
      <w:r>
        <w:rPr>
          <w:rFonts w:cs="Times New Roman"/>
          <w:sz w:val="20"/>
          <w:szCs w:val="20"/>
        </w:rPr>
        <w:lastRenderedPageBreak/>
        <w:t>t, keepGoing, threads per tool and whether to continue after a failed stage (default false)</w:t>
      </w:r>
    </w:p>
    <w:p w:rsidR="00833CD8" w:rsidRDefault="00A43542">
      <w:pPr>
        <w:spacing w:line="300" w:lineRule="auto"/>
        <w:ind w:left="1080" w:hanging="720"/>
      </w:pPr>
      <w:r>
        <w:rPr>
          <w:rFonts w:cs="Times New Roman"/>
          <w:b/>
          <w:bCs/>
          <w:sz w:val="20"/>
          <w:szCs w:val="20"/>
        </w:rPr>
        <w:t>Output</w:t>
      </w:r>
      <w:r>
        <w:rPr>
          <w:rFonts w:cs="Times New Roman"/>
          <w:sz w:val="20"/>
          <w:szCs w:val="20"/>
        </w:rPr>
        <w:t xml:space="preserve"> J, Φ, stage outputs under the job directory J and run report Φ</w:t>
      </w:r>
    </w:p>
    <w:p w:rsidR="00833CD8" w:rsidRDefault="00A43542">
      <w:pPr>
        <w:spacing w:line="300" w:lineRule="auto"/>
        <w:ind w:left="900" w:hanging="540"/>
      </w:pPr>
      <w:r>
        <w:rPr>
          <w:rFonts w:cs="Times New Roman"/>
          <w:sz w:val="20"/>
          <w:szCs w:val="20"/>
        </w:rPr>
        <w:t>1: j ← supplied job identifier</w:t>
      </w:r>
      <w:r>
        <w:rPr>
          <w:rFonts w:cs="Times New Roman"/>
          <w:sz w:val="20"/>
          <w:szCs w:val="20"/>
        </w:rPr>
        <w:t>, else "pipetest_" + timestamp</w:t>
      </w:r>
    </w:p>
    <w:p w:rsidR="00833CD8" w:rsidRDefault="00A43542">
      <w:pPr>
        <w:spacing w:line="300" w:lineRule="auto"/>
        <w:ind w:left="900" w:hanging="540"/>
      </w:pPr>
      <w:r>
        <w:rPr>
          <w:rFonts w:cs="Times New Roman"/>
          <w:sz w:val="20"/>
          <w:szCs w:val="20"/>
        </w:rPr>
        <w:t xml:space="preserve">2: J ← JobDirectory(user, j)   ▹ </w:t>
      </w:r>
      <w:r>
        <w:rPr>
          <w:rFonts w:cs="Times New Roman"/>
          <w:i/>
          <w:iCs/>
          <w:sz w:val="20"/>
          <w:szCs w:val="20"/>
        </w:rPr>
        <w:t>one directory, from which every stage reads its input</w:t>
      </w:r>
    </w:p>
    <w:p w:rsidR="00833CD8" w:rsidRDefault="00A43542">
      <w:pPr>
        <w:spacing w:line="300" w:lineRule="auto"/>
        <w:ind w:left="900" w:hanging="540"/>
      </w:pPr>
      <w:r>
        <w:rPr>
          <w:rFonts w:cs="Times New Roman"/>
          <w:sz w:val="20"/>
          <w:szCs w:val="20"/>
        </w:rPr>
        <w:t xml:space="preserve">3: bound the per-process thread pools (BLAS, OpenMP, joblib)   ▹ </w:t>
      </w:r>
      <w:r>
        <w:rPr>
          <w:rFonts w:cs="Times New Roman"/>
          <w:i/>
          <w:iCs/>
          <w:sz w:val="20"/>
          <w:szCs w:val="20"/>
        </w:rPr>
        <w:t>concurrent jobs must not oversubscribe the server</w:t>
      </w:r>
    </w:p>
    <w:p w:rsidR="00833CD8" w:rsidRDefault="00A43542">
      <w:pPr>
        <w:spacing w:line="300" w:lineRule="auto"/>
        <w:ind w:left="900" w:hanging="540"/>
      </w:pPr>
      <w:r>
        <w:rPr>
          <w:rFonts w:cs="Times New Roman"/>
          <w:sz w:val="20"/>
          <w:szCs w:val="20"/>
        </w:rPr>
        <w:t xml:space="preserve">4: </w:t>
      </w:r>
      <w:r>
        <w:rPr>
          <w:rFonts w:cs="Times New Roman"/>
          <w:b/>
          <w:bCs/>
          <w:sz w:val="20"/>
          <w:szCs w:val="20"/>
        </w:rPr>
        <w:t>if</w:t>
      </w:r>
      <w:r>
        <w:rPr>
          <w:rFonts w:cs="Times New Roman"/>
          <w:sz w:val="20"/>
          <w:szCs w:val="20"/>
        </w:rPr>
        <w:t xml:space="preserve"> R is an ad hoc di</w:t>
      </w:r>
      <w:r>
        <w:rPr>
          <w:rFonts w:cs="Times New Roman"/>
          <w:sz w:val="20"/>
          <w:szCs w:val="20"/>
        </w:rPr>
        <w:t xml:space="preserve">rectory </w:t>
      </w:r>
      <w:r>
        <w:rPr>
          <w:rFonts w:cs="Times New Roman"/>
          <w:b/>
          <w:bCs/>
          <w:sz w:val="20"/>
          <w:szCs w:val="20"/>
        </w:rPr>
        <w:t>then</w:t>
      </w:r>
      <w:r>
        <w:rPr>
          <w:rFonts w:cs="Times New Roman"/>
          <w:sz w:val="20"/>
          <w:szCs w:val="20"/>
        </w:rPr>
        <w:t xml:space="preserve"> register R as a dataset so that stage 1 accepts it</w:t>
      </w:r>
    </w:p>
    <w:p w:rsidR="00833CD8" w:rsidRDefault="00A43542">
      <w:pPr>
        <w:spacing w:line="300" w:lineRule="auto"/>
        <w:ind w:left="900" w:hanging="540"/>
      </w:pPr>
      <w:r>
        <w:rPr>
          <w:rFonts w:cs="Times New Roman"/>
          <w:sz w:val="20"/>
          <w:szCs w:val="20"/>
        </w:rPr>
        <w:t>5: open the run log in J, Φ ← ⟨j, R, G, t, S, start time, steps = [ ]⟩</w:t>
      </w:r>
    </w:p>
    <w:p w:rsidR="00833CD8" w:rsidRDefault="00A43542">
      <w:pPr>
        <w:spacing w:line="300" w:lineRule="auto"/>
        <w:ind w:left="900" w:hanging="540"/>
      </w:pPr>
      <w:r>
        <w:rPr>
          <w:rFonts w:cs="Times New Roman"/>
          <w:sz w:val="20"/>
          <w:szCs w:val="20"/>
        </w:rPr>
        <w:t xml:space="preserve">6: </w:t>
      </w:r>
      <w:r>
        <w:rPr>
          <w:rFonts w:cs="Times New Roman"/>
          <w:b/>
          <w:bCs/>
          <w:sz w:val="20"/>
          <w:szCs w:val="20"/>
        </w:rPr>
        <w:t>for each</w:t>
      </w:r>
      <w:r>
        <w:rPr>
          <w:rFonts w:cs="Times New Roman"/>
          <w:sz w:val="20"/>
          <w:szCs w:val="20"/>
        </w:rPr>
        <w:t xml:space="preserve"> stage s ∈ S in pipeline order </w:t>
      </w:r>
      <w:r>
        <w:rPr>
          <w:rFonts w:cs="Times New Roman"/>
          <w:b/>
          <w:bCs/>
          <w:sz w:val="20"/>
          <w:szCs w:val="20"/>
        </w:rPr>
        <w:t>do</w:t>
      </w:r>
    </w:p>
    <w:p w:rsidR="00833CD8" w:rsidRDefault="00A43542">
      <w:pPr>
        <w:spacing w:line="300" w:lineRule="auto"/>
        <w:ind w:left="900" w:hanging="540"/>
      </w:pPr>
      <w:r>
        <w:rPr>
          <w:rFonts w:cs="Times New Roman"/>
          <w:sz w:val="20"/>
          <w:szCs w:val="20"/>
        </w:rPr>
        <w:t>7:     t</w:t>
      </w:r>
      <w:r>
        <w:rPr>
          <w:rFonts w:cs="Times New Roman"/>
          <w:sz w:val="20"/>
          <w:szCs w:val="20"/>
          <w:vertAlign w:val="subscript"/>
        </w:rPr>
        <w:t>0</w:t>
      </w:r>
      <w:r>
        <w:rPr>
          <w:rFonts w:cs="Times New Roman"/>
          <w:sz w:val="20"/>
          <w:szCs w:val="20"/>
        </w:rPr>
        <w:t xml:space="preserve"> ← now</w:t>
      </w:r>
    </w:p>
    <w:p w:rsidR="00833CD8" w:rsidRDefault="00A43542">
      <w:pPr>
        <w:spacing w:line="300" w:lineRule="auto"/>
        <w:ind w:left="900" w:hanging="540"/>
      </w:pPr>
      <w:r>
        <w:rPr>
          <w:rFonts w:cs="Times New Roman"/>
          <w:sz w:val="20"/>
          <w:szCs w:val="20"/>
        </w:rPr>
        <w:t xml:space="preserve">8:     </w:t>
      </w:r>
      <w:r>
        <w:rPr>
          <w:rFonts w:cs="Times New Roman"/>
          <w:b/>
          <w:bCs/>
          <w:sz w:val="20"/>
          <w:szCs w:val="20"/>
        </w:rPr>
        <w:t>try</w:t>
      </w:r>
    </w:p>
    <w:p w:rsidR="00833CD8" w:rsidRDefault="00A43542">
      <w:pPr>
        <w:spacing w:line="300" w:lineRule="auto"/>
        <w:ind w:left="900" w:hanging="540"/>
      </w:pPr>
      <w:r>
        <w:rPr>
          <w:rFonts w:cs="Times New Roman"/>
          <w:sz w:val="20"/>
          <w:szCs w:val="20"/>
        </w:rPr>
        <w:t xml:space="preserve">9:         (result, summary) ← RunStage(s)   ▹ </w:t>
      </w:r>
      <w:r>
        <w:rPr>
          <w:rFonts w:cs="Times New Roman"/>
          <w:i/>
          <w:iCs/>
          <w:sz w:val="20"/>
          <w:szCs w:val="20"/>
        </w:rPr>
        <w:t>Al</w:t>
      </w:r>
      <w:r>
        <w:rPr>
          <w:rFonts w:cs="Times New Roman"/>
          <w:i/>
          <w:iCs/>
          <w:sz w:val="20"/>
          <w:szCs w:val="20"/>
        </w:rPr>
        <w:t>gorithm 2</w:t>
      </w:r>
    </w:p>
    <w:p w:rsidR="00833CD8" w:rsidRDefault="00A43542">
      <w:pPr>
        <w:spacing w:line="300" w:lineRule="auto"/>
        <w:ind w:left="900" w:hanging="540"/>
      </w:pPr>
      <w:r>
        <w:rPr>
          <w:rFonts w:cs="Times New Roman"/>
          <w:sz w:val="20"/>
          <w:szCs w:val="20"/>
        </w:rPr>
        <w:t xml:space="preserve">10:       </w:t>
      </w:r>
      <w:r>
        <w:rPr>
          <w:rFonts w:cs="Times New Roman"/>
          <w:b/>
          <w:bCs/>
          <w:sz w:val="20"/>
          <w:szCs w:val="20"/>
        </w:rPr>
        <w:t>if</w:t>
      </w:r>
      <w:r>
        <w:rPr>
          <w:rFonts w:cs="Times New Roman"/>
          <w:sz w:val="20"/>
          <w:szCs w:val="20"/>
        </w:rPr>
        <w:t xml:space="preserve"> result reports an error or status = FAILED </w:t>
      </w:r>
      <w:r>
        <w:rPr>
          <w:rFonts w:cs="Times New Roman"/>
          <w:b/>
          <w:bCs/>
          <w:sz w:val="20"/>
          <w:szCs w:val="20"/>
        </w:rPr>
        <w:t>then raise</w:t>
      </w:r>
      <w:r>
        <w:rPr>
          <w:rFonts w:cs="Times New Roman"/>
          <w:sz w:val="20"/>
          <w:szCs w:val="20"/>
        </w:rPr>
        <w:t xml:space="preserve"> error</w:t>
      </w:r>
    </w:p>
    <w:p w:rsidR="00833CD8" w:rsidRDefault="00A43542">
      <w:pPr>
        <w:spacing w:line="300" w:lineRule="auto"/>
        <w:ind w:left="900" w:hanging="540"/>
      </w:pPr>
      <w:r>
        <w:rPr>
          <w:rFonts w:cs="Times New Roman"/>
          <w:sz w:val="20"/>
          <w:szCs w:val="20"/>
        </w:rPr>
        <w:t>11:       append ⟨s, OK, summary, now − t</w:t>
      </w:r>
      <w:r>
        <w:rPr>
          <w:rFonts w:cs="Times New Roman"/>
          <w:sz w:val="20"/>
          <w:szCs w:val="20"/>
          <w:vertAlign w:val="subscript"/>
        </w:rPr>
        <w:t>0</w:t>
      </w:r>
      <w:r>
        <w:rPr>
          <w:rFonts w:cs="Times New Roman"/>
          <w:sz w:val="20"/>
          <w:szCs w:val="20"/>
        </w:rPr>
        <w:t>⟩ to Φ.steps</w:t>
      </w:r>
    </w:p>
    <w:p w:rsidR="00833CD8" w:rsidRDefault="00A43542">
      <w:pPr>
        <w:spacing w:line="300" w:lineRule="auto"/>
        <w:ind w:left="900" w:hanging="540"/>
      </w:pPr>
      <w:r>
        <w:rPr>
          <w:rFonts w:cs="Times New Roman"/>
          <w:sz w:val="20"/>
          <w:szCs w:val="20"/>
        </w:rPr>
        <w:t xml:space="preserve">12:     </w:t>
      </w:r>
      <w:r>
        <w:rPr>
          <w:rFonts w:cs="Times New Roman"/>
          <w:b/>
          <w:bCs/>
          <w:sz w:val="20"/>
          <w:szCs w:val="20"/>
        </w:rPr>
        <w:t>catch</w:t>
      </w:r>
      <w:r>
        <w:rPr>
          <w:rFonts w:cs="Times New Roman"/>
          <w:sz w:val="20"/>
          <w:szCs w:val="20"/>
        </w:rPr>
        <w:t xml:space="preserve"> interruption, append ⟨s, INTERRUPTED, now − t</w:t>
      </w:r>
      <w:r>
        <w:rPr>
          <w:rFonts w:cs="Times New Roman"/>
          <w:sz w:val="20"/>
          <w:szCs w:val="20"/>
          <w:vertAlign w:val="subscript"/>
        </w:rPr>
        <w:t>0</w:t>
      </w:r>
      <w:r>
        <w:rPr>
          <w:rFonts w:cs="Times New Roman"/>
          <w:sz w:val="20"/>
          <w:szCs w:val="20"/>
        </w:rPr>
        <w:t xml:space="preserve">⟩ to Φ.steps and </w:t>
      </w:r>
      <w:r>
        <w:rPr>
          <w:rFonts w:cs="Times New Roman"/>
          <w:b/>
          <w:bCs/>
          <w:sz w:val="20"/>
          <w:szCs w:val="20"/>
        </w:rPr>
        <w:t>break</w:t>
      </w:r>
    </w:p>
    <w:p w:rsidR="00833CD8" w:rsidRDefault="00A43542">
      <w:pPr>
        <w:spacing w:line="300" w:lineRule="auto"/>
        <w:ind w:left="900" w:hanging="540"/>
      </w:pPr>
      <w:r>
        <w:rPr>
          <w:rFonts w:cs="Times New Roman"/>
          <w:sz w:val="20"/>
          <w:szCs w:val="20"/>
        </w:rPr>
        <w:t xml:space="preserve">13:     </w:t>
      </w:r>
      <w:r>
        <w:rPr>
          <w:rFonts w:cs="Times New Roman"/>
          <w:b/>
          <w:bCs/>
          <w:sz w:val="20"/>
          <w:szCs w:val="20"/>
        </w:rPr>
        <w:t>catch</w:t>
      </w:r>
      <w:r>
        <w:rPr>
          <w:rFonts w:cs="Times New Roman"/>
          <w:sz w:val="20"/>
          <w:szCs w:val="20"/>
        </w:rPr>
        <w:t xml:space="preserve"> error e, append ⟨s, FAILED, e, now − t</w:t>
      </w:r>
      <w:r>
        <w:rPr>
          <w:rFonts w:cs="Times New Roman"/>
          <w:sz w:val="20"/>
          <w:szCs w:val="20"/>
          <w:vertAlign w:val="subscript"/>
        </w:rPr>
        <w:t>0</w:t>
      </w:r>
      <w:r>
        <w:rPr>
          <w:rFonts w:cs="Times New Roman"/>
          <w:sz w:val="20"/>
          <w:szCs w:val="20"/>
        </w:rPr>
        <w:t>⟩ to Φ.steps</w:t>
      </w:r>
    </w:p>
    <w:p w:rsidR="00833CD8" w:rsidRDefault="00A43542">
      <w:pPr>
        <w:spacing w:line="300" w:lineRule="auto"/>
        <w:ind w:left="900" w:hanging="540"/>
      </w:pPr>
      <w:r>
        <w:rPr>
          <w:rFonts w:cs="Times New Roman"/>
          <w:sz w:val="20"/>
          <w:szCs w:val="20"/>
        </w:rPr>
        <w:t xml:space="preserve">14:     </w:t>
      </w:r>
      <w:r>
        <w:rPr>
          <w:rFonts w:cs="Times New Roman"/>
          <w:b/>
          <w:bCs/>
          <w:sz w:val="20"/>
          <w:szCs w:val="20"/>
        </w:rPr>
        <w:t>if</w:t>
      </w:r>
      <w:r>
        <w:rPr>
          <w:rFonts w:cs="Times New Roman"/>
          <w:sz w:val="20"/>
          <w:szCs w:val="20"/>
        </w:rPr>
        <w:t xml:space="preserve"> the last entry of Φ.steps is not OK and ¬keepGoing </w:t>
      </w:r>
      <w:r>
        <w:rPr>
          <w:rFonts w:cs="Times New Roman"/>
          <w:b/>
          <w:bCs/>
          <w:sz w:val="20"/>
          <w:szCs w:val="20"/>
        </w:rPr>
        <w:t>then break</w:t>
      </w:r>
    </w:p>
    <w:p w:rsidR="00833CD8" w:rsidRDefault="00A43542">
      <w:pPr>
        <w:spacing w:line="300" w:lineRule="auto"/>
        <w:ind w:left="900" w:hanging="540"/>
      </w:pPr>
      <w:r>
        <w:rPr>
          <w:rFonts w:cs="Times New Roman"/>
          <w:sz w:val="20"/>
          <w:szCs w:val="20"/>
        </w:rPr>
        <w:t>15: Φ.status ← COMPLETED, FAILED or INTERRUPTED, and record the total run time</w:t>
      </w:r>
    </w:p>
    <w:p w:rsidR="00833CD8" w:rsidRDefault="00A43542">
      <w:pPr>
        <w:spacing w:line="300" w:lineRule="auto"/>
        <w:ind w:left="900" w:hanging="540"/>
      </w:pPr>
      <w:r>
        <w:rPr>
          <w:rFonts w:cs="Times New Roman"/>
          <w:sz w:val="20"/>
          <w:szCs w:val="20"/>
        </w:rPr>
        <w:t>16: print the per-stage summary and write Φ as JSON to J</w:t>
      </w:r>
    </w:p>
    <w:p w:rsidR="00833CD8" w:rsidRDefault="00A43542">
      <w:pPr>
        <w:spacing w:line="300" w:lineRule="auto"/>
        <w:ind w:left="900" w:hanging="540"/>
      </w:pPr>
      <w:r>
        <w:rPr>
          <w:rFonts w:cs="Times New Roman"/>
          <w:sz w:val="20"/>
          <w:szCs w:val="20"/>
        </w:rPr>
        <w:t xml:space="preserve">17: </w:t>
      </w:r>
      <w:r>
        <w:rPr>
          <w:rFonts w:cs="Times New Roman"/>
          <w:b/>
          <w:bCs/>
          <w:sz w:val="20"/>
          <w:szCs w:val="20"/>
        </w:rPr>
        <w:t>return</w:t>
      </w:r>
      <w:r>
        <w:rPr>
          <w:rFonts w:cs="Times New Roman"/>
          <w:sz w:val="20"/>
          <w:szCs w:val="20"/>
        </w:rPr>
        <w:t xml:space="preserve"> Φ</w:t>
      </w:r>
    </w:p>
    <w:p w:rsidR="00833CD8" w:rsidRDefault="00833CD8"/>
    <w:p w:rsidR="00833CD8" w:rsidRDefault="00A43542">
      <w:pPr>
        <w:spacing w:line="300" w:lineRule="auto"/>
        <w:ind w:left="360"/>
      </w:pPr>
      <w:r>
        <w:rPr>
          <w:rFonts w:cs="Times New Roman"/>
          <w:b/>
          <w:bCs/>
          <w:sz w:val="21"/>
          <w:szCs w:val="21"/>
        </w:rPr>
        <w:t>Algorithm 2. RunStage(s), the pipeline stages</w:t>
      </w:r>
    </w:p>
    <w:p w:rsidR="00833CD8" w:rsidRDefault="00A43542">
      <w:pPr>
        <w:spacing w:line="300" w:lineRule="auto"/>
        <w:ind w:left="900"/>
      </w:pPr>
      <w:r>
        <w:rPr>
          <w:rFonts w:cs="Times New Roman"/>
          <w:i/>
          <w:iCs/>
          <w:sz w:val="20"/>
          <w:szCs w:val="20"/>
        </w:rPr>
        <w:t>Each stage invokes the same service function as the correspo</w:t>
      </w:r>
      <w:r>
        <w:rPr>
          <w:rFonts w:cs="Times New Roman"/>
          <w:i/>
          <w:iCs/>
          <w:sz w:val="20"/>
          <w:szCs w:val="20"/>
        </w:rPr>
        <w:t>nding web route, with the same arguments. require X aborts the stage, which Algorithm 1 then reports as FAILED, if X does not hold.</w:t>
      </w:r>
    </w:p>
    <w:p w:rsidR="00833CD8" w:rsidRDefault="00A43542">
      <w:pPr>
        <w:spacing w:line="300" w:lineRule="auto"/>
        <w:ind w:left="900" w:hanging="540"/>
      </w:pPr>
      <w:r>
        <w:rPr>
          <w:rFonts w:cs="Times New Roman"/>
          <w:b/>
          <w:bCs/>
          <w:sz w:val="20"/>
          <w:szCs w:val="20"/>
        </w:rPr>
        <w:t>Stage 1, FastQC, read quality control</w:t>
      </w:r>
    </w:p>
    <w:p w:rsidR="00833CD8" w:rsidRDefault="00A43542">
      <w:pPr>
        <w:spacing w:line="300" w:lineRule="auto"/>
        <w:ind w:left="900" w:hanging="540"/>
      </w:pPr>
      <w:r>
        <w:rPr>
          <w:rFonts w:cs="Times New Roman"/>
          <w:sz w:val="20"/>
          <w:szCs w:val="20"/>
        </w:rPr>
        <w:t xml:space="preserve">1: </w:t>
      </w:r>
      <w:r>
        <w:rPr>
          <w:rFonts w:cs="Times New Roman"/>
          <w:b/>
          <w:bCs/>
          <w:sz w:val="20"/>
          <w:szCs w:val="20"/>
        </w:rPr>
        <w:t>for each</w:t>
      </w:r>
      <w:r>
        <w:rPr>
          <w:rFonts w:cs="Times New Roman"/>
          <w:sz w:val="20"/>
          <w:szCs w:val="20"/>
        </w:rPr>
        <w:t xml:space="preserve"> sample r ∈ R </w:t>
      </w:r>
      <w:r>
        <w:rPr>
          <w:rFonts w:cs="Times New Roman"/>
          <w:b/>
          <w:bCs/>
          <w:sz w:val="20"/>
          <w:szCs w:val="20"/>
        </w:rPr>
        <w:t>do</w:t>
      </w:r>
      <w:r>
        <w:rPr>
          <w:rFonts w:cs="Times New Roman"/>
          <w:sz w:val="20"/>
          <w:szCs w:val="20"/>
        </w:rPr>
        <w:t xml:space="preserve"> FastQC(r) → QC reports and plots in J/fastqc</w:t>
      </w:r>
    </w:p>
    <w:p w:rsidR="00833CD8" w:rsidRDefault="00A43542">
      <w:pPr>
        <w:spacing w:line="300" w:lineRule="auto"/>
        <w:ind w:left="900" w:hanging="540"/>
      </w:pPr>
      <w:r>
        <w:rPr>
          <w:rFonts w:cs="Times New Roman"/>
          <w:sz w:val="20"/>
          <w:szCs w:val="20"/>
        </w:rPr>
        <w:t xml:space="preserve">2: </w:t>
      </w:r>
      <w:r>
        <w:rPr>
          <w:rFonts w:cs="Times New Roman"/>
          <w:b/>
          <w:bCs/>
          <w:sz w:val="20"/>
          <w:szCs w:val="20"/>
        </w:rPr>
        <w:t>return</w:t>
      </w:r>
      <w:r>
        <w:rPr>
          <w:rFonts w:cs="Times New Roman"/>
          <w:sz w:val="20"/>
          <w:szCs w:val="20"/>
        </w:rPr>
        <w:t xml:space="preserve"> ⟨#s</w:t>
      </w:r>
      <w:r>
        <w:rPr>
          <w:rFonts w:cs="Times New Roman"/>
          <w:sz w:val="20"/>
          <w:szCs w:val="20"/>
        </w:rPr>
        <w:t>amples, #paired-end, #single-end, #succeeded, #failed, #plots⟩</w:t>
      </w:r>
    </w:p>
    <w:p w:rsidR="00833CD8" w:rsidRDefault="00A43542">
      <w:pPr>
        <w:spacing w:line="300" w:lineRule="auto"/>
        <w:ind w:left="900" w:hanging="540"/>
      </w:pPr>
      <w:r>
        <w:rPr>
          <w:rFonts w:cs="Times New Roman"/>
          <w:b/>
          <w:bCs/>
          <w:sz w:val="20"/>
          <w:szCs w:val="20"/>
        </w:rPr>
        <w:t>Stage 2, Trimmomatic, adapter and quality trimming</w:t>
      </w:r>
    </w:p>
    <w:p w:rsidR="00833CD8" w:rsidRDefault="00A43542">
      <w:pPr>
        <w:spacing w:line="300" w:lineRule="auto"/>
        <w:ind w:left="900" w:hanging="540"/>
      </w:pPr>
      <w:r>
        <w:rPr>
          <w:rFonts w:cs="Times New Roman"/>
          <w:sz w:val="20"/>
          <w:szCs w:val="20"/>
        </w:rPr>
        <w:t xml:space="preserve">3: </w:t>
      </w:r>
      <w:r>
        <w:rPr>
          <w:rFonts w:cs="Times New Roman"/>
          <w:b/>
          <w:bCs/>
          <w:sz w:val="20"/>
          <w:szCs w:val="20"/>
        </w:rPr>
        <w:t>require</w:t>
      </w:r>
      <w:r>
        <w:rPr>
          <w:rFonts w:cs="Times New Roman"/>
          <w:sz w:val="20"/>
          <w:szCs w:val="20"/>
        </w:rPr>
        <w:t xml:space="preserve"> adapter file P exists</w:t>
      </w:r>
    </w:p>
    <w:p w:rsidR="00833CD8" w:rsidRDefault="00A43542">
      <w:pPr>
        <w:spacing w:line="300" w:lineRule="auto"/>
        <w:ind w:left="900" w:hanging="540"/>
      </w:pPr>
      <w:r>
        <w:rPr>
          <w:rFonts w:cs="Times New Roman"/>
          <w:sz w:val="20"/>
          <w:szCs w:val="20"/>
        </w:rPr>
        <w:t xml:space="preserve">4: </w:t>
      </w:r>
      <w:r>
        <w:rPr>
          <w:rFonts w:cs="Times New Roman"/>
          <w:b/>
          <w:bCs/>
          <w:sz w:val="20"/>
          <w:szCs w:val="20"/>
        </w:rPr>
        <w:t>for each</w:t>
      </w:r>
      <w:r>
        <w:rPr>
          <w:rFonts w:cs="Times New Roman"/>
          <w:sz w:val="20"/>
          <w:szCs w:val="20"/>
        </w:rPr>
        <w:t xml:space="preserve"> sample r ∈ R, resolved through job j, </w:t>
      </w:r>
      <w:r>
        <w:rPr>
          <w:rFonts w:cs="Times New Roman"/>
          <w:b/>
          <w:bCs/>
          <w:sz w:val="20"/>
          <w:szCs w:val="20"/>
        </w:rPr>
        <w:t>do</w:t>
      </w:r>
      <w:r>
        <w:rPr>
          <w:rFonts w:cs="Times New Roman"/>
          <w:sz w:val="20"/>
          <w:szCs w:val="20"/>
        </w:rPr>
        <w:t xml:space="preserve"> Trimmomatic(r, P, θ</w:t>
      </w:r>
      <w:r>
        <w:rPr>
          <w:rFonts w:cs="Times New Roman"/>
          <w:sz w:val="20"/>
          <w:szCs w:val="20"/>
          <w:vertAlign w:val="subscript"/>
        </w:rPr>
        <w:t>trim</w:t>
      </w:r>
      <w:r>
        <w:rPr>
          <w:rFonts w:cs="Times New Roman"/>
          <w:sz w:val="20"/>
          <w:szCs w:val="20"/>
        </w:rPr>
        <w:t>, t) → trimmed FASTQ in J/trimmom</w:t>
      </w:r>
      <w:r>
        <w:rPr>
          <w:rFonts w:cs="Times New Roman"/>
          <w:sz w:val="20"/>
          <w:szCs w:val="20"/>
        </w:rPr>
        <w:t>atic</w:t>
      </w:r>
    </w:p>
    <w:p w:rsidR="00833CD8" w:rsidRDefault="00A43542">
      <w:pPr>
        <w:spacing w:line="300" w:lineRule="auto"/>
        <w:ind w:left="900" w:hanging="540"/>
      </w:pPr>
      <w:r>
        <w:rPr>
          <w:rFonts w:cs="Times New Roman"/>
          <w:sz w:val="20"/>
          <w:szCs w:val="20"/>
        </w:rPr>
        <w:t xml:space="preserve">5: </w:t>
      </w:r>
      <w:r>
        <w:rPr>
          <w:rFonts w:cs="Times New Roman"/>
          <w:b/>
          <w:bCs/>
          <w:sz w:val="20"/>
          <w:szCs w:val="20"/>
        </w:rPr>
        <w:t>return</w:t>
      </w:r>
      <w:r>
        <w:rPr>
          <w:rFonts w:cs="Times New Roman"/>
          <w:sz w:val="20"/>
          <w:szCs w:val="20"/>
        </w:rPr>
        <w:t xml:space="preserve"> ⟨adapter, #samples, #succeeded, #failed, mean read survival rate⟩</w:t>
      </w:r>
    </w:p>
    <w:p w:rsidR="00833CD8" w:rsidRDefault="00A43542">
      <w:pPr>
        <w:spacing w:line="300" w:lineRule="auto"/>
        <w:ind w:left="900" w:hanging="540"/>
      </w:pPr>
      <w:r>
        <w:rPr>
          <w:rFonts w:cs="Times New Roman"/>
          <w:b/>
          <w:bCs/>
          <w:sz w:val="20"/>
          <w:szCs w:val="20"/>
        </w:rPr>
        <w:t>Stage 3, STAR, spliced read alignment</w:t>
      </w:r>
    </w:p>
    <w:p w:rsidR="00833CD8" w:rsidRDefault="00A43542">
      <w:pPr>
        <w:spacing w:line="300" w:lineRule="auto"/>
        <w:ind w:left="900" w:hanging="540"/>
      </w:pPr>
      <w:r>
        <w:rPr>
          <w:rFonts w:cs="Times New Roman"/>
          <w:sz w:val="20"/>
          <w:szCs w:val="20"/>
        </w:rPr>
        <w:t xml:space="preserve">6: </w:t>
      </w:r>
      <w:r>
        <w:rPr>
          <w:rFonts w:cs="Times New Roman"/>
          <w:b/>
          <w:bCs/>
          <w:sz w:val="20"/>
          <w:szCs w:val="20"/>
        </w:rPr>
        <w:t>for each</w:t>
      </w:r>
      <w:r>
        <w:rPr>
          <w:rFonts w:cs="Times New Roman"/>
          <w:sz w:val="20"/>
          <w:szCs w:val="20"/>
        </w:rPr>
        <w:t xml:space="preserve"> trimmed sample r′ of job j </w:t>
      </w:r>
      <w:r>
        <w:rPr>
          <w:rFonts w:cs="Times New Roman"/>
          <w:b/>
          <w:bCs/>
          <w:sz w:val="20"/>
          <w:szCs w:val="20"/>
        </w:rPr>
        <w:t>do</w:t>
      </w:r>
      <w:r>
        <w:rPr>
          <w:rFonts w:cs="Times New Roman"/>
          <w:sz w:val="20"/>
          <w:szCs w:val="20"/>
        </w:rPr>
        <w:t xml:space="preserve"> STAR(r′, I</w:t>
      </w:r>
      <w:r>
        <w:rPr>
          <w:rFonts w:cs="Times New Roman"/>
          <w:sz w:val="20"/>
          <w:szCs w:val="20"/>
          <w:vertAlign w:val="subscript"/>
        </w:rPr>
        <w:t>G</w:t>
      </w:r>
      <w:r>
        <w:rPr>
          <w:rFonts w:cs="Times New Roman"/>
          <w:sz w:val="20"/>
          <w:szCs w:val="20"/>
        </w:rPr>
        <w:t>, A</w:t>
      </w:r>
      <w:r>
        <w:rPr>
          <w:rFonts w:cs="Times New Roman"/>
          <w:sz w:val="20"/>
          <w:szCs w:val="20"/>
          <w:vertAlign w:val="subscript"/>
        </w:rPr>
        <w:t>G</w:t>
      </w:r>
      <w:r>
        <w:rPr>
          <w:rFonts w:cs="Times New Roman"/>
          <w:sz w:val="20"/>
          <w:szCs w:val="20"/>
        </w:rPr>
        <w:t>, t) → aligned BAM in J/star/alignment</w:t>
      </w:r>
    </w:p>
    <w:p w:rsidR="00833CD8" w:rsidRDefault="00A43542">
      <w:pPr>
        <w:spacing w:line="300" w:lineRule="auto"/>
        <w:ind w:left="900" w:hanging="540"/>
      </w:pPr>
      <w:r>
        <w:rPr>
          <w:rFonts w:cs="Times New Roman"/>
          <w:sz w:val="20"/>
          <w:szCs w:val="20"/>
        </w:rPr>
        <w:t xml:space="preserve">7: </w:t>
      </w:r>
      <w:r>
        <w:rPr>
          <w:rFonts w:cs="Times New Roman"/>
          <w:b/>
          <w:bCs/>
          <w:sz w:val="20"/>
          <w:szCs w:val="20"/>
        </w:rPr>
        <w:t>return</w:t>
      </w:r>
      <w:r>
        <w:rPr>
          <w:rFonts w:cs="Times New Roman"/>
          <w:sz w:val="20"/>
          <w:szCs w:val="20"/>
        </w:rPr>
        <w:t xml:space="preserve"> ⟨reference, #samples, #succeede</w:t>
      </w:r>
      <w:r>
        <w:rPr>
          <w:rFonts w:cs="Times New Roman"/>
          <w:sz w:val="20"/>
          <w:szCs w:val="20"/>
        </w:rPr>
        <w:t>d, #failed, overall alignment rate⟩</w:t>
      </w:r>
    </w:p>
    <w:p w:rsidR="00833CD8" w:rsidRDefault="00A43542">
      <w:pPr>
        <w:spacing w:line="300" w:lineRule="auto"/>
        <w:ind w:left="900" w:hanging="540"/>
      </w:pPr>
      <w:r>
        <w:rPr>
          <w:rFonts w:cs="Times New Roman"/>
          <w:b/>
          <w:bCs/>
          <w:sz w:val="20"/>
          <w:szCs w:val="20"/>
        </w:rPr>
        <w:t>Stage 4, pre-quantification BAM processing</w:t>
      </w:r>
    </w:p>
    <w:p w:rsidR="00833CD8" w:rsidRDefault="00A43542">
      <w:pPr>
        <w:spacing w:line="300" w:lineRule="auto"/>
        <w:ind w:left="900" w:hanging="540"/>
      </w:pPr>
      <w:r>
        <w:rPr>
          <w:rFonts w:cs="Times New Roman"/>
          <w:sz w:val="20"/>
          <w:szCs w:val="20"/>
        </w:rPr>
        <w:t>8: D ← J/star/alignment</w:t>
      </w:r>
    </w:p>
    <w:p w:rsidR="00833CD8" w:rsidRDefault="00A43542">
      <w:pPr>
        <w:spacing w:line="300" w:lineRule="auto"/>
        <w:ind w:left="900" w:hanging="540"/>
      </w:pPr>
      <w:r>
        <w:rPr>
          <w:rFonts w:cs="Times New Roman"/>
          <w:sz w:val="20"/>
          <w:szCs w:val="20"/>
        </w:rPr>
        <w:t xml:space="preserve">9: B ← BAM files in D, </w:t>
      </w:r>
      <w:r>
        <w:rPr>
          <w:rFonts w:cs="Times New Roman"/>
          <w:b/>
          <w:bCs/>
          <w:sz w:val="20"/>
          <w:szCs w:val="20"/>
        </w:rPr>
        <w:t>require</w:t>
      </w:r>
      <w:r>
        <w:rPr>
          <w:rFonts w:cs="Times New Roman"/>
          <w:sz w:val="20"/>
          <w:szCs w:val="20"/>
        </w:rPr>
        <w:t xml:space="preserve"> B ≠ ∅</w:t>
      </w:r>
    </w:p>
    <w:p w:rsidR="00833CD8" w:rsidRDefault="00A43542">
      <w:pPr>
        <w:spacing w:line="300" w:lineRule="auto"/>
        <w:ind w:left="900" w:hanging="540"/>
      </w:pPr>
      <w:r>
        <w:rPr>
          <w:rFonts w:cs="Times New Roman"/>
          <w:sz w:val="20"/>
          <w:szCs w:val="20"/>
        </w:rPr>
        <w:t xml:space="preserve">10: </w:t>
      </w:r>
      <w:r>
        <w:rPr>
          <w:rFonts w:cs="Times New Roman"/>
          <w:b/>
          <w:bCs/>
          <w:sz w:val="20"/>
          <w:szCs w:val="20"/>
        </w:rPr>
        <w:t>for each</w:t>
      </w:r>
      <w:r>
        <w:rPr>
          <w:rFonts w:cs="Times New Roman"/>
          <w:sz w:val="20"/>
          <w:szCs w:val="20"/>
        </w:rPr>
        <w:t xml:space="preserve"> b ∈ B </w:t>
      </w:r>
      <w:r>
        <w:rPr>
          <w:rFonts w:cs="Times New Roman"/>
          <w:b/>
          <w:bCs/>
          <w:sz w:val="20"/>
          <w:szCs w:val="20"/>
        </w:rPr>
        <w:t>do</w:t>
      </w:r>
      <w:r>
        <w:rPr>
          <w:rFonts w:cs="Times New Roman"/>
          <w:sz w:val="20"/>
          <w:szCs w:val="20"/>
        </w:rPr>
        <w:t xml:space="preserve"> sort → fixmate → mark duplicates → index → b_markdup.bam in J/sorting</w:t>
      </w:r>
    </w:p>
    <w:p w:rsidR="00833CD8" w:rsidRDefault="00A43542">
      <w:pPr>
        <w:spacing w:line="300" w:lineRule="auto"/>
        <w:ind w:left="900" w:hanging="540"/>
      </w:pPr>
      <w:r>
        <w:rPr>
          <w:rFonts w:cs="Times New Roman"/>
          <w:sz w:val="20"/>
          <w:szCs w:val="20"/>
        </w:rPr>
        <w:t xml:space="preserve">11: </w:t>
      </w:r>
      <w:r>
        <w:rPr>
          <w:rFonts w:cs="Times New Roman"/>
          <w:b/>
          <w:bCs/>
          <w:sz w:val="20"/>
          <w:szCs w:val="20"/>
        </w:rPr>
        <w:t>return</w:t>
      </w:r>
      <w:r>
        <w:rPr>
          <w:rFonts w:cs="Times New Roman"/>
          <w:sz w:val="20"/>
          <w:szCs w:val="20"/>
        </w:rPr>
        <w:t xml:space="preserve"> ⟨aligner, |B|, #succeeded, #failed, duplicate rate⟩</w:t>
      </w:r>
    </w:p>
    <w:p w:rsidR="00833CD8" w:rsidRDefault="00A43542">
      <w:pPr>
        <w:spacing w:line="300" w:lineRule="auto"/>
        <w:ind w:left="900" w:hanging="540"/>
      </w:pPr>
      <w:r>
        <w:rPr>
          <w:rFonts w:cs="Times New Roman"/>
          <w:b/>
          <w:bCs/>
          <w:sz w:val="20"/>
          <w:szCs w:val="20"/>
        </w:rPr>
        <w:t>Stage 5, quantification, count matrix</w:t>
      </w:r>
    </w:p>
    <w:p w:rsidR="00833CD8" w:rsidRDefault="00A43542">
      <w:pPr>
        <w:spacing w:line="300" w:lineRule="auto"/>
        <w:ind w:left="900" w:hanging="540"/>
      </w:pPr>
      <w:r>
        <w:rPr>
          <w:rFonts w:cs="Times New Roman"/>
          <w:sz w:val="20"/>
          <w:szCs w:val="20"/>
        </w:rPr>
        <w:t xml:space="preserve">12: </w:t>
      </w:r>
      <w:r>
        <w:rPr>
          <w:rFonts w:cs="Times New Roman"/>
          <w:b/>
          <w:bCs/>
          <w:sz w:val="20"/>
          <w:szCs w:val="20"/>
        </w:rPr>
        <w:t>require</w:t>
      </w:r>
      <w:r>
        <w:rPr>
          <w:rFonts w:cs="Times New Roman"/>
          <w:sz w:val="20"/>
          <w:szCs w:val="20"/>
        </w:rPr>
        <w:t xml:space="preserve"> A</w:t>
      </w:r>
      <w:r>
        <w:rPr>
          <w:rFonts w:cs="Times New Roman"/>
          <w:sz w:val="20"/>
          <w:szCs w:val="20"/>
          <w:vertAlign w:val="subscript"/>
        </w:rPr>
        <w:t>G</w:t>
      </w:r>
      <w:r>
        <w:rPr>
          <w:rFonts w:cs="Times New Roman"/>
          <w:sz w:val="20"/>
          <w:szCs w:val="20"/>
        </w:rPr>
        <w:t xml:space="preserve"> configured and present, B′ ← *_markdup.bam files in J/sorting, </w:t>
      </w:r>
      <w:r>
        <w:rPr>
          <w:rFonts w:cs="Times New Roman"/>
          <w:b/>
          <w:bCs/>
          <w:sz w:val="20"/>
          <w:szCs w:val="20"/>
        </w:rPr>
        <w:t>require</w:t>
      </w:r>
      <w:r>
        <w:rPr>
          <w:rFonts w:cs="Times New Roman"/>
          <w:sz w:val="20"/>
          <w:szCs w:val="20"/>
        </w:rPr>
        <w:t xml:space="preserve"> B′ ≠ ∅</w:t>
      </w:r>
    </w:p>
    <w:p w:rsidR="00833CD8" w:rsidRDefault="00A43542">
      <w:pPr>
        <w:spacing w:line="300" w:lineRule="auto"/>
        <w:ind w:left="900" w:hanging="540"/>
      </w:pPr>
      <w:r>
        <w:rPr>
          <w:rFonts w:cs="Times New Roman"/>
          <w:sz w:val="20"/>
          <w:szCs w:val="20"/>
        </w:rPr>
        <w:t xml:space="preserve">13: </w:t>
      </w:r>
      <w:r>
        <w:rPr>
          <w:rFonts w:cs="Times New Roman"/>
          <w:b/>
          <w:bCs/>
          <w:sz w:val="20"/>
          <w:szCs w:val="20"/>
        </w:rPr>
        <w:t>if</w:t>
      </w:r>
      <w:r>
        <w:rPr>
          <w:rFonts w:cs="Times New Roman"/>
          <w:sz w:val="20"/>
          <w:szCs w:val="20"/>
        </w:rPr>
        <w:t xml:space="preserve"> q = featureCounts </w:t>
      </w:r>
      <w:r>
        <w:rPr>
          <w:rFonts w:cs="Times New Roman"/>
          <w:b/>
          <w:bCs/>
          <w:sz w:val="20"/>
          <w:szCs w:val="20"/>
        </w:rPr>
        <w:t>then</w:t>
      </w:r>
    </w:p>
    <w:p w:rsidR="00833CD8" w:rsidRDefault="00A43542">
      <w:pPr>
        <w:spacing w:line="300" w:lineRule="auto"/>
        <w:ind w:left="900" w:hanging="540"/>
      </w:pPr>
      <w:r>
        <w:rPr>
          <w:rFonts w:cs="Times New Roman"/>
          <w:sz w:val="20"/>
          <w:szCs w:val="20"/>
        </w:rPr>
        <w:t>14:     featureCounts(B′, A</w:t>
      </w:r>
      <w:r>
        <w:rPr>
          <w:rFonts w:cs="Times New Roman"/>
          <w:sz w:val="20"/>
          <w:szCs w:val="20"/>
          <w:vertAlign w:val="subscript"/>
        </w:rPr>
        <w:t>G</w:t>
      </w:r>
      <w:r>
        <w:rPr>
          <w:rFonts w:cs="Times New Roman"/>
          <w:sz w:val="20"/>
          <w:szCs w:val="20"/>
        </w:rPr>
        <w:t>, θ</w:t>
      </w:r>
      <w:r>
        <w:rPr>
          <w:rFonts w:cs="Times New Roman"/>
          <w:sz w:val="20"/>
          <w:szCs w:val="20"/>
          <w:vertAlign w:val="subscript"/>
        </w:rPr>
        <w:t>q</w:t>
      </w:r>
      <w:r>
        <w:rPr>
          <w:rFonts w:cs="Times New Roman"/>
          <w:sz w:val="20"/>
          <w:szCs w:val="20"/>
        </w:rPr>
        <w:t xml:space="preserve">, t)   ▹ </w:t>
      </w:r>
      <w:r>
        <w:rPr>
          <w:rFonts w:cs="Times New Roman"/>
          <w:i/>
          <w:iCs/>
          <w:sz w:val="20"/>
          <w:szCs w:val="20"/>
        </w:rPr>
        <w:t>one multithreaded run over all samples, with the GTF parsed once</w:t>
      </w:r>
    </w:p>
    <w:p w:rsidR="00833CD8" w:rsidRDefault="00A43542">
      <w:pPr>
        <w:spacing w:line="300" w:lineRule="auto"/>
        <w:ind w:left="900" w:hanging="540"/>
      </w:pPr>
      <w:r>
        <w:rPr>
          <w:rFonts w:cs="Times New Roman"/>
          <w:sz w:val="20"/>
          <w:szCs w:val="20"/>
        </w:rPr>
        <w:t xml:space="preserve">15: </w:t>
      </w:r>
      <w:r>
        <w:rPr>
          <w:rFonts w:cs="Times New Roman"/>
          <w:b/>
          <w:bCs/>
          <w:sz w:val="20"/>
          <w:szCs w:val="20"/>
        </w:rPr>
        <w:t>else</w:t>
      </w:r>
    </w:p>
    <w:p w:rsidR="00833CD8" w:rsidRDefault="00A43542">
      <w:pPr>
        <w:spacing w:line="300" w:lineRule="auto"/>
        <w:ind w:left="900" w:hanging="540"/>
      </w:pPr>
      <w:r>
        <w:rPr>
          <w:rFonts w:cs="Times New Roman"/>
          <w:sz w:val="20"/>
          <w:szCs w:val="20"/>
        </w:rPr>
        <w:t xml:space="preserve">16:     </w:t>
      </w:r>
      <w:r>
        <w:rPr>
          <w:rFonts w:cs="Times New Roman"/>
          <w:b/>
          <w:bCs/>
          <w:sz w:val="20"/>
          <w:szCs w:val="20"/>
        </w:rPr>
        <w:t>for each</w:t>
      </w:r>
      <w:r>
        <w:rPr>
          <w:rFonts w:cs="Times New Roman"/>
          <w:sz w:val="20"/>
          <w:szCs w:val="20"/>
        </w:rPr>
        <w:t xml:space="preserve"> b ∈ B′ </w:t>
      </w:r>
      <w:r>
        <w:rPr>
          <w:rFonts w:cs="Times New Roman"/>
          <w:b/>
          <w:bCs/>
          <w:sz w:val="20"/>
          <w:szCs w:val="20"/>
        </w:rPr>
        <w:t>do</w:t>
      </w:r>
      <w:r>
        <w:rPr>
          <w:rFonts w:cs="Times New Roman"/>
          <w:sz w:val="20"/>
          <w:szCs w:val="20"/>
        </w:rPr>
        <w:t xml:space="preserve"> htseq</w:t>
      </w:r>
      <w:r>
        <w:rPr>
          <w:rFonts w:cs="Times New Roman"/>
          <w:sz w:val="20"/>
          <w:szCs w:val="20"/>
        </w:rPr>
        <w:t>-count(b, A</w:t>
      </w:r>
      <w:r>
        <w:rPr>
          <w:rFonts w:cs="Times New Roman"/>
          <w:sz w:val="20"/>
          <w:szCs w:val="20"/>
          <w:vertAlign w:val="subscript"/>
        </w:rPr>
        <w:t>G</w:t>
      </w:r>
      <w:r>
        <w:rPr>
          <w:rFonts w:cs="Times New Roman"/>
          <w:sz w:val="20"/>
          <w:szCs w:val="20"/>
        </w:rPr>
        <w:t>, θ</w:t>
      </w:r>
      <w:r>
        <w:rPr>
          <w:rFonts w:cs="Times New Roman"/>
          <w:sz w:val="20"/>
          <w:szCs w:val="20"/>
          <w:vertAlign w:val="subscript"/>
        </w:rPr>
        <w:t>q</w:t>
      </w:r>
      <w:r>
        <w:rPr>
          <w:rFonts w:cs="Times New Roman"/>
          <w:sz w:val="20"/>
          <w:szCs w:val="20"/>
        </w:rPr>
        <w:t xml:space="preserve">)   ▹ </w:t>
      </w:r>
      <w:r>
        <w:rPr>
          <w:rFonts w:cs="Times New Roman"/>
          <w:i/>
          <w:iCs/>
          <w:sz w:val="20"/>
          <w:szCs w:val="20"/>
        </w:rPr>
        <w:t>one single-threaded run per sample</w:t>
      </w:r>
    </w:p>
    <w:p w:rsidR="00833CD8" w:rsidRDefault="00A43542">
      <w:pPr>
        <w:spacing w:line="300" w:lineRule="auto"/>
        <w:ind w:left="900" w:hanging="540"/>
      </w:pPr>
      <w:r>
        <w:rPr>
          <w:rFonts w:cs="Times New Roman"/>
          <w:sz w:val="20"/>
          <w:szCs w:val="20"/>
        </w:rPr>
        <w:t>17: merge the per-sample counts → count matrix C (genes × samples), written as merged_counts.csv</w:t>
      </w:r>
    </w:p>
    <w:p w:rsidR="00833CD8" w:rsidRDefault="00A43542">
      <w:pPr>
        <w:spacing w:line="300" w:lineRule="auto"/>
        <w:ind w:left="900" w:hanging="540"/>
      </w:pPr>
      <w:r>
        <w:rPr>
          <w:rFonts w:cs="Times New Roman"/>
          <w:sz w:val="20"/>
          <w:szCs w:val="20"/>
        </w:rPr>
        <w:lastRenderedPageBreak/>
        <w:t xml:space="preserve">18: </w:t>
      </w:r>
      <w:r>
        <w:rPr>
          <w:rFonts w:cs="Times New Roman"/>
          <w:b/>
          <w:bCs/>
          <w:sz w:val="20"/>
          <w:szCs w:val="20"/>
        </w:rPr>
        <w:t>return</w:t>
      </w:r>
      <w:r>
        <w:rPr>
          <w:rFonts w:cs="Times New Roman"/>
          <w:sz w:val="20"/>
          <w:szCs w:val="20"/>
        </w:rPr>
        <w:t xml:space="preserve"> ⟨quantifier, A</w:t>
      </w:r>
      <w:r>
        <w:rPr>
          <w:rFonts w:cs="Times New Roman"/>
          <w:sz w:val="20"/>
          <w:szCs w:val="20"/>
          <w:vertAlign w:val="subscript"/>
        </w:rPr>
        <w:t>G</w:t>
      </w:r>
      <w:r>
        <w:rPr>
          <w:rFonts w:cs="Times New Roman"/>
          <w:sz w:val="20"/>
          <w:szCs w:val="20"/>
        </w:rPr>
        <w:t>, #samples, #succeeded, assignment rate, #genes⟩</w:t>
      </w:r>
    </w:p>
    <w:p w:rsidR="00833CD8" w:rsidRDefault="00A43542">
      <w:pPr>
        <w:spacing w:line="300" w:lineRule="auto"/>
        <w:ind w:left="900" w:hanging="540"/>
      </w:pPr>
      <w:r>
        <w:rPr>
          <w:rFonts w:cs="Times New Roman"/>
          <w:b/>
          <w:bCs/>
          <w:sz w:val="20"/>
          <w:szCs w:val="20"/>
        </w:rPr>
        <w:t>Stage 6, gene annotation</w:t>
      </w:r>
    </w:p>
    <w:p w:rsidR="00833CD8" w:rsidRDefault="00A43542">
      <w:pPr>
        <w:spacing w:line="300" w:lineRule="auto"/>
        <w:ind w:left="900" w:hanging="540"/>
      </w:pPr>
      <w:r>
        <w:rPr>
          <w:rFonts w:cs="Times New Roman"/>
          <w:sz w:val="20"/>
          <w:szCs w:val="20"/>
        </w:rPr>
        <w:t>19</w:t>
      </w:r>
      <w:r>
        <w:rPr>
          <w:rFonts w:cs="Times New Roman"/>
          <w:sz w:val="20"/>
          <w:szCs w:val="20"/>
        </w:rPr>
        <w:t xml:space="preserve">: </w:t>
      </w:r>
      <w:r>
        <w:rPr>
          <w:rFonts w:cs="Times New Roman"/>
          <w:b/>
          <w:bCs/>
          <w:sz w:val="20"/>
          <w:szCs w:val="20"/>
        </w:rPr>
        <w:t>require</w:t>
      </w:r>
      <w:r>
        <w:rPr>
          <w:rFonts w:cs="Times New Roman"/>
          <w:sz w:val="20"/>
          <w:szCs w:val="20"/>
        </w:rPr>
        <w:t xml:space="preserve"> Q</w:t>
      </w:r>
      <w:r>
        <w:rPr>
          <w:rFonts w:cs="Times New Roman"/>
          <w:sz w:val="20"/>
          <w:szCs w:val="20"/>
          <w:vertAlign w:val="subscript"/>
        </w:rPr>
        <w:t>G</w:t>
      </w:r>
      <w:r>
        <w:rPr>
          <w:rFonts w:cs="Times New Roman"/>
          <w:sz w:val="20"/>
          <w:szCs w:val="20"/>
        </w:rPr>
        <w:t xml:space="preserve"> present, C ← merged_counts.csv of job j, from the directory of either quantifier</w:t>
      </w:r>
    </w:p>
    <w:p w:rsidR="00833CD8" w:rsidRDefault="00A43542">
      <w:pPr>
        <w:spacing w:line="300" w:lineRule="auto"/>
        <w:ind w:left="900" w:hanging="540"/>
      </w:pPr>
      <w:r>
        <w:rPr>
          <w:rFonts w:cs="Times New Roman"/>
          <w:sz w:val="20"/>
          <w:szCs w:val="20"/>
        </w:rPr>
        <w:t>20: C</w:t>
      </w:r>
      <w:r>
        <w:rPr>
          <w:rFonts w:cs="Times New Roman"/>
          <w:sz w:val="20"/>
          <w:szCs w:val="20"/>
          <w:vertAlign w:val="subscript"/>
        </w:rPr>
        <w:t>ann</w:t>
      </w:r>
      <w:r>
        <w:rPr>
          <w:rFonts w:cs="Times New Roman"/>
          <w:sz w:val="20"/>
          <w:szCs w:val="20"/>
        </w:rPr>
        <w:t xml:space="preserve"> ← join C with Q</w:t>
      </w:r>
      <w:r>
        <w:rPr>
          <w:rFonts w:cs="Times New Roman"/>
          <w:sz w:val="20"/>
          <w:szCs w:val="20"/>
          <w:vertAlign w:val="subscript"/>
        </w:rPr>
        <w:t>G</w:t>
      </w:r>
      <w:r>
        <w:rPr>
          <w:rFonts w:cs="Times New Roman"/>
          <w:sz w:val="20"/>
          <w:szCs w:val="20"/>
        </w:rPr>
        <w:t xml:space="preserve"> on gene identifier → annotated_counts_j.csv in J/annotation</w:t>
      </w:r>
    </w:p>
    <w:p w:rsidR="00833CD8" w:rsidRDefault="00A43542">
      <w:pPr>
        <w:spacing w:line="300" w:lineRule="auto"/>
        <w:ind w:left="900" w:hanging="540"/>
      </w:pPr>
      <w:r>
        <w:rPr>
          <w:rFonts w:cs="Times New Roman"/>
          <w:sz w:val="20"/>
          <w:szCs w:val="20"/>
        </w:rPr>
        <w:t xml:space="preserve">21: </w:t>
      </w:r>
      <w:r>
        <w:rPr>
          <w:rFonts w:cs="Times New Roman"/>
          <w:b/>
          <w:bCs/>
          <w:sz w:val="20"/>
          <w:szCs w:val="20"/>
        </w:rPr>
        <w:t>return</w:t>
      </w:r>
      <w:r>
        <w:rPr>
          <w:rFonts w:cs="Times New Roman"/>
          <w:sz w:val="20"/>
          <w:szCs w:val="20"/>
        </w:rPr>
        <w:t xml:space="preserve"> ⟨#annotated genes, #unannotated genes, annotation rate⟩</w:t>
      </w:r>
    </w:p>
    <w:p w:rsidR="00833CD8" w:rsidRDefault="00A43542">
      <w:pPr>
        <w:spacing w:line="300" w:lineRule="auto"/>
        <w:ind w:left="900" w:hanging="540"/>
      </w:pPr>
      <w:r>
        <w:rPr>
          <w:rFonts w:cs="Times New Roman"/>
          <w:b/>
          <w:bCs/>
          <w:sz w:val="20"/>
          <w:szCs w:val="20"/>
        </w:rPr>
        <w:t>Stage 7, DESeq2, differential expression</w:t>
      </w:r>
    </w:p>
    <w:p w:rsidR="00833CD8" w:rsidRDefault="00A43542">
      <w:pPr>
        <w:spacing w:line="300" w:lineRule="auto"/>
        <w:ind w:left="900" w:hanging="540"/>
      </w:pPr>
      <w:r>
        <w:rPr>
          <w:rFonts w:cs="Times New Roman"/>
          <w:sz w:val="20"/>
          <w:szCs w:val="20"/>
        </w:rPr>
        <w:t>22: C ← C</w:t>
      </w:r>
      <w:r>
        <w:rPr>
          <w:rFonts w:cs="Times New Roman"/>
          <w:sz w:val="20"/>
          <w:szCs w:val="20"/>
          <w:vertAlign w:val="subscript"/>
        </w:rPr>
        <w:t>ann</w:t>
      </w:r>
      <w:r>
        <w:rPr>
          <w:rFonts w:cs="Times New Roman"/>
          <w:sz w:val="20"/>
          <w:szCs w:val="20"/>
        </w:rPr>
        <w:t xml:space="preserve"> if present, else merged_counts.csv</w:t>
      </w:r>
    </w:p>
    <w:p w:rsidR="00833CD8" w:rsidRDefault="00A43542">
      <w:pPr>
        <w:spacing w:line="300" w:lineRule="auto"/>
        <w:ind w:left="900" w:hanging="540"/>
      </w:pPr>
      <w:r>
        <w:rPr>
          <w:rFonts w:cs="Times New Roman"/>
          <w:sz w:val="20"/>
          <w:szCs w:val="20"/>
        </w:rPr>
        <w:t xml:space="preserve">23: </w:t>
      </w:r>
      <w:r>
        <w:rPr>
          <w:rFonts w:cs="Times New Roman"/>
          <w:b/>
          <w:bCs/>
          <w:sz w:val="20"/>
          <w:szCs w:val="20"/>
        </w:rPr>
        <w:t>if</w:t>
      </w:r>
      <w:r>
        <w:rPr>
          <w:rFonts w:cs="Times New Roman"/>
          <w:sz w:val="20"/>
          <w:szCs w:val="20"/>
        </w:rPr>
        <w:t xml:space="preserve"> M not supplied </w:t>
      </w:r>
      <w:r>
        <w:rPr>
          <w:rFonts w:cs="Times New Roman"/>
          <w:b/>
          <w:bCs/>
          <w:sz w:val="20"/>
          <w:szCs w:val="20"/>
        </w:rPr>
        <w:t>then</w:t>
      </w:r>
      <w:r>
        <w:rPr>
          <w:rFonts w:cs="Times New Roman"/>
          <w:sz w:val="20"/>
          <w:szCs w:val="20"/>
        </w:rPr>
        <w:t xml:space="preserve">   ▹ </w:t>
      </w:r>
      <w:r>
        <w:rPr>
          <w:rFonts w:cs="Times New Roman"/>
          <w:i/>
          <w:iCs/>
          <w:sz w:val="20"/>
          <w:szCs w:val="20"/>
        </w:rPr>
        <w:t>default two-group design</w:t>
      </w:r>
    </w:p>
    <w:p w:rsidR="00833CD8" w:rsidRDefault="00A43542">
      <w:pPr>
        <w:spacing w:line="300" w:lineRule="auto"/>
        <w:ind w:left="900" w:hanging="540"/>
      </w:pPr>
      <w:r>
        <w:rPr>
          <w:rFonts w:cs="Times New Roman"/>
          <w:sz w:val="20"/>
          <w:szCs w:val="20"/>
        </w:rPr>
        <w:t>24:     samples ← sample columns of C, sorted by name,</w:t>
      </w:r>
      <w:r>
        <w:rPr>
          <w:rFonts w:cs="Times New Roman"/>
          <w:sz w:val="20"/>
          <w:szCs w:val="20"/>
        </w:rPr>
        <w:t xml:space="preserve"> </w:t>
      </w:r>
      <w:r>
        <w:rPr>
          <w:rFonts w:cs="Times New Roman"/>
          <w:b/>
          <w:bCs/>
          <w:sz w:val="20"/>
          <w:szCs w:val="20"/>
        </w:rPr>
        <w:t>require</w:t>
      </w:r>
      <w:r>
        <w:rPr>
          <w:rFonts w:cs="Times New Roman"/>
          <w:sz w:val="20"/>
          <w:szCs w:val="20"/>
        </w:rPr>
        <w:t xml:space="preserve"> |samples| ≥ 2</w:t>
      </w:r>
    </w:p>
    <w:p w:rsidR="00833CD8" w:rsidRDefault="00A43542">
      <w:pPr>
        <w:spacing w:line="300" w:lineRule="auto"/>
        <w:ind w:left="900" w:hanging="540"/>
      </w:pPr>
      <w:r>
        <w:rPr>
          <w:rFonts w:cs="Times New Roman"/>
          <w:sz w:val="20"/>
          <w:szCs w:val="20"/>
        </w:rPr>
        <w:t>25:     M ← first ⌊|samples| / 2⌋ samples ↦ c</w:t>
      </w:r>
      <w:r>
        <w:rPr>
          <w:rFonts w:cs="Times New Roman"/>
          <w:sz w:val="20"/>
          <w:szCs w:val="20"/>
          <w:vertAlign w:val="subscript"/>
        </w:rPr>
        <w:t>A</w:t>
      </w:r>
      <w:r>
        <w:rPr>
          <w:rFonts w:cs="Times New Roman"/>
          <w:sz w:val="20"/>
          <w:szCs w:val="20"/>
        </w:rPr>
        <w:t>, remaining samples ↦ c</w:t>
      </w:r>
      <w:r>
        <w:rPr>
          <w:rFonts w:cs="Times New Roman"/>
          <w:sz w:val="20"/>
          <w:szCs w:val="20"/>
          <w:vertAlign w:val="subscript"/>
        </w:rPr>
        <w:t>B</w:t>
      </w:r>
    </w:p>
    <w:p w:rsidR="00833CD8" w:rsidRDefault="00A43542">
      <w:pPr>
        <w:spacing w:line="300" w:lineRule="auto"/>
        <w:ind w:left="900" w:hanging="540"/>
      </w:pPr>
      <w:r>
        <w:rPr>
          <w:rFonts w:cs="Times New Roman"/>
          <w:sz w:val="20"/>
          <w:szCs w:val="20"/>
        </w:rPr>
        <w:t xml:space="preserve">26: conditions ← distinct values of M, </w:t>
      </w:r>
      <w:r>
        <w:rPr>
          <w:rFonts w:cs="Times New Roman"/>
          <w:b/>
          <w:bCs/>
          <w:sz w:val="20"/>
          <w:szCs w:val="20"/>
        </w:rPr>
        <w:t>require</w:t>
      </w:r>
      <w:r>
        <w:rPr>
          <w:rFonts w:cs="Times New Roman"/>
          <w:sz w:val="20"/>
          <w:szCs w:val="20"/>
        </w:rPr>
        <w:t xml:space="preserve"> |conditions| ≥ 2</w:t>
      </w:r>
    </w:p>
    <w:p w:rsidR="00833CD8" w:rsidRDefault="00A43542">
      <w:pPr>
        <w:spacing w:line="300" w:lineRule="auto"/>
        <w:ind w:left="900" w:hanging="540"/>
      </w:pPr>
      <w:r>
        <w:rPr>
          <w:rFonts w:cs="Times New Roman"/>
          <w:sz w:val="20"/>
          <w:szCs w:val="20"/>
        </w:rPr>
        <w:t>27: (c</w:t>
      </w:r>
      <w:r>
        <w:rPr>
          <w:rFonts w:cs="Times New Roman"/>
          <w:sz w:val="20"/>
          <w:szCs w:val="20"/>
          <w:vertAlign w:val="subscript"/>
        </w:rPr>
        <w:t>1</w:t>
      </w:r>
      <w:r>
        <w:rPr>
          <w:rFonts w:cs="Times New Roman"/>
          <w:sz w:val="20"/>
          <w:szCs w:val="20"/>
        </w:rPr>
        <w:t>, c</w:t>
      </w:r>
      <w:r>
        <w:rPr>
          <w:rFonts w:cs="Times New Roman"/>
          <w:sz w:val="20"/>
          <w:szCs w:val="20"/>
          <w:vertAlign w:val="subscript"/>
        </w:rPr>
        <w:t>2</w:t>
      </w:r>
      <w:r>
        <w:rPr>
          <w:rFonts w:cs="Times New Roman"/>
          <w:sz w:val="20"/>
          <w:szCs w:val="20"/>
        </w:rPr>
        <w:t>) ← supplied contrast, else the first two conditions</w:t>
      </w:r>
    </w:p>
    <w:p w:rsidR="00833CD8" w:rsidRDefault="00A43542">
      <w:pPr>
        <w:spacing w:line="300" w:lineRule="auto"/>
        <w:ind w:left="900" w:hanging="540"/>
      </w:pPr>
      <w:r>
        <w:rPr>
          <w:rFonts w:cs="Times New Roman"/>
          <w:sz w:val="20"/>
          <w:szCs w:val="20"/>
        </w:rPr>
        <w:t>28: DESeq2(C, M, (c</w:t>
      </w:r>
      <w:r>
        <w:rPr>
          <w:rFonts w:cs="Times New Roman"/>
          <w:sz w:val="20"/>
          <w:szCs w:val="20"/>
          <w:vertAlign w:val="subscript"/>
        </w:rPr>
        <w:t>1</w:t>
      </w:r>
      <w:r>
        <w:rPr>
          <w:rFonts w:cs="Times New Roman"/>
          <w:sz w:val="20"/>
          <w:szCs w:val="20"/>
        </w:rPr>
        <w:t>, c</w:t>
      </w:r>
      <w:r>
        <w:rPr>
          <w:rFonts w:cs="Times New Roman"/>
          <w:sz w:val="20"/>
          <w:szCs w:val="20"/>
          <w:vertAlign w:val="subscript"/>
        </w:rPr>
        <w:t>2</w:t>
      </w:r>
      <w:r>
        <w:rPr>
          <w:rFonts w:cs="Times New Roman"/>
          <w:sz w:val="20"/>
          <w:szCs w:val="20"/>
        </w:rPr>
        <w:t>)) → resul</w:t>
      </w:r>
      <w:r>
        <w:rPr>
          <w:rFonts w:cs="Times New Roman"/>
          <w:sz w:val="20"/>
          <w:szCs w:val="20"/>
        </w:rPr>
        <w:t>ts in J/deseq2</w:t>
      </w:r>
    </w:p>
    <w:p w:rsidR="00833CD8" w:rsidRDefault="00A43542">
      <w:pPr>
        <w:spacing w:line="300" w:lineRule="auto"/>
        <w:ind w:left="900" w:hanging="540"/>
      </w:pPr>
      <w:r>
        <w:rPr>
          <w:rFonts w:cs="Times New Roman"/>
          <w:sz w:val="20"/>
          <w:szCs w:val="20"/>
        </w:rPr>
        <w:t xml:space="preserve">29: </w:t>
      </w:r>
      <w:r>
        <w:rPr>
          <w:rFonts w:cs="Times New Roman"/>
          <w:b/>
          <w:bCs/>
          <w:sz w:val="20"/>
          <w:szCs w:val="20"/>
        </w:rPr>
        <w:t>return</w:t>
      </w:r>
      <w:r>
        <w:rPr>
          <w:rFonts w:cs="Times New Roman"/>
          <w:sz w:val="20"/>
          <w:szCs w:val="20"/>
        </w:rPr>
        <w:t xml:space="preserve"> ⟨count file, contrast, M, #genes tested, #significant DEGs, #up-regulated, #down-regulated⟩</w:t>
      </w:r>
    </w:p>
    <w:p w:rsidR="00833CD8" w:rsidRDefault="00833CD8"/>
    <w:p w:rsidR="00833CD8" w:rsidRDefault="00A43542">
      <w:pPr>
        <w:jc w:val="both"/>
      </w:pPr>
      <w:r>
        <w:rPr>
          <w:rFonts w:cs="Times New Roman"/>
        </w:rPr>
        <w:t>In this notation the fold change reported by stage 7 is expressed as c</w:t>
      </w:r>
      <w:r>
        <w:rPr>
          <w:rFonts w:cs="Times New Roman"/>
          <w:vertAlign w:val="subscript"/>
        </w:rPr>
        <w:t>1</w:t>
      </w:r>
      <w:r>
        <w:rPr>
          <w:rFonts w:cs="Times New Roman"/>
        </w:rPr>
        <w:t xml:space="preserve"> relative to c</w:t>
      </w:r>
      <w:r>
        <w:rPr>
          <w:rFonts w:cs="Times New Roman"/>
          <w:vertAlign w:val="subscript"/>
        </w:rPr>
        <w:t>2</w:t>
      </w:r>
      <w:r>
        <w:rPr>
          <w:rFonts w:cs="Times New Roman"/>
        </w:rPr>
        <w:t>. In the case study c</w:t>
      </w:r>
      <w:r>
        <w:rPr>
          <w:rFonts w:cs="Times New Roman"/>
          <w:vertAlign w:val="subscript"/>
        </w:rPr>
        <w:t>1</w:t>
      </w:r>
      <w:r>
        <w:rPr>
          <w:rFonts w:cs="Times New Roman"/>
        </w:rPr>
        <w:t xml:space="preserve"> was control and c</w:t>
      </w:r>
      <w:r>
        <w:rPr>
          <w:rFonts w:cs="Times New Roman"/>
          <w:vertAlign w:val="subscript"/>
        </w:rPr>
        <w:t>2</w:t>
      </w:r>
      <w:r>
        <w:rPr>
          <w:rFonts w:cs="Times New Roman"/>
        </w:rPr>
        <w:t xml:space="preserve"> was IPF, so the exported fold changes, and those reported in the main article, are expressed as control relative to IPF.</w:t>
      </w:r>
    </w:p>
    <w:p w:rsidR="00833CD8" w:rsidRDefault="00833CD8"/>
    <w:p w:rsidR="00833CD8" w:rsidRDefault="00A43542">
      <w:pPr>
        <w:pStyle w:val="Heading1"/>
        <w:keepNext/>
      </w:pPr>
      <w:r>
        <w:t>S6 Supplementary Data S1 to S3</w:t>
      </w:r>
    </w:p>
    <w:p w:rsidR="00833CD8" w:rsidRDefault="00A43542">
      <w:pPr>
        <w:jc w:val="both"/>
      </w:pPr>
      <w:r>
        <w:rPr>
          <w:rFonts w:cs="Times New Roman"/>
          <w:b/>
          <w:bCs/>
        </w:rPr>
        <w:t>Supplementary Data S1</w:t>
      </w:r>
      <w:r>
        <w:rPr>
          <w:rFonts w:cs="Times New Roman"/>
        </w:rPr>
        <w:t xml:space="preserve"> (OmicsXplore_Data_S1.xlsx) is a workbook of ten sheets, and i</w:t>
      </w:r>
      <w:r>
        <w:rPr>
          <w:rFonts w:cs="Times New Roman"/>
        </w:rPr>
        <w:t>ts README sheet describes every sheet and column. Samples and Per_sample_metrics hold the values of Tables S2 and S3. DE_all_tested holds the result for all 10,484 tested features and DE_significant the 3,464 differentially expressed features. In both shee</w:t>
      </w:r>
      <w:r>
        <w:rPr>
          <w:rFonts w:cs="Times New Roman"/>
        </w:rPr>
        <w:t>ts fold changes and Wald statistics are given as exported, that is, as control relative to IPF, and a further column states whether each differentially expressed feature is raised or reduced in IPF. ORA_GO_BP_2023 holds all 753 terms returned by Enrichr. G</w:t>
      </w:r>
      <w:r>
        <w:rPr>
          <w:rFonts w:cs="Times New Roman"/>
        </w:rPr>
        <w:t>SEA_prerank holds all 4,735 gene sets as exported. Fusions_all lists the 271 candidate fusion events and Fusions_per_sample the counts of Table S7b. Reproduction compares the platform's result with the independent re-run of Section S4 for every feature.</w:t>
      </w:r>
    </w:p>
    <w:p w:rsidR="00833CD8" w:rsidRDefault="00A43542">
      <w:pPr>
        <w:jc w:val="both"/>
      </w:pPr>
      <w:r>
        <w:rPr>
          <w:rFonts w:cs="Times New Roman"/>
          <w:b/>
          <w:bCs/>
        </w:rPr>
        <w:t>Su</w:t>
      </w:r>
      <w:r>
        <w:rPr>
          <w:rFonts w:cs="Times New Roman"/>
          <w:b/>
          <w:bCs/>
        </w:rPr>
        <w:t>pplementary Data S2</w:t>
      </w:r>
      <w:r>
        <w:rPr>
          <w:rFonts w:cs="Times New Roman"/>
        </w:rPr>
        <w:t xml:space="preserve"> (OmicsXplore_Data_S2.zip) is an archive of the files exported by the platform for the case study. It contains the MultiQC reports of the Pre-trim QC and Post-trim QC modules and of the full pipeline, the SAMtools flagstat table, the HTS</w:t>
      </w:r>
      <w:r>
        <w:rPr>
          <w:rFonts w:cs="Times New Roman"/>
        </w:rPr>
        <w:t>eq-count statistics, the annotated count matrix, the sample metadata and the SRA run table. It also holds all tables and plots of the DEG analysis module, the splicekit report and the 38 Arriba PDF files that contain the 271 fusion visualizations. A README</w:t>
      </w:r>
      <w:r>
        <w:rPr>
          <w:rFonts w:cs="Times New Roman"/>
        </w:rPr>
        <w:t xml:space="preserve"> file in the archive describes each file and the orientation of the exported fold changes. The same files are archived on Zenodo (https://doi.org/10.5281/zenodo.23507592, version V1.0) and available at https://github.com/ataul475/OmicsXplore.</w:t>
      </w:r>
    </w:p>
    <w:p w:rsidR="00833CD8" w:rsidRDefault="00A43542">
      <w:pPr>
        <w:jc w:val="both"/>
      </w:pPr>
      <w:r>
        <w:rPr>
          <w:rFonts w:cs="Times New Roman"/>
          <w:b/>
          <w:bCs/>
        </w:rPr>
        <w:lastRenderedPageBreak/>
        <w:t>Supplementary</w:t>
      </w:r>
      <w:r>
        <w:rPr>
          <w:rFonts w:cs="Times New Roman"/>
          <w:b/>
          <w:bCs/>
        </w:rPr>
        <w:t xml:space="preserve"> Data S3</w:t>
      </w:r>
      <w:r>
        <w:rPr>
          <w:rFonts w:cs="Times New Roman"/>
        </w:rPr>
        <w:t xml:space="preserve"> (OmicsXplore_Data_S3.zip) holds three Python scripts with a shared helper module, a README and a list of requirements. The first script recomputes the per-file read quality and the per-sample trimming, alignment, duplicate and counting metrics fro</w:t>
      </w:r>
      <w:r>
        <w:rPr>
          <w:rFonts w:cs="Times New Roman"/>
        </w:rPr>
        <w:t>m the exported reports (Tables 3 and S3a to S3d). The second repeats the differential expression test with PyDESeq2 0.5.4 and compares it with the platform's result feature by feature (Section S4). The third reads the candidate fusion events from the Arrib</w:t>
      </w:r>
      <w:r>
        <w:rPr>
          <w:rFonts w:cs="Times New Roman"/>
        </w:rPr>
        <w:t>a visualizations (Tables S7 to S9). The scripts take the folders of Supplementary Data S2 as input and run in a few minutes on a laptop. They were written with the assistance of Claude Opus 5.5 (Anthropic) and checked by the authors.</w:t>
      </w:r>
    </w:p>
    <w:p w:rsidR="00833CD8" w:rsidRDefault="00833CD8"/>
    <w:p w:rsidR="00833CD8" w:rsidRDefault="00A43542">
      <w:pPr>
        <w:pStyle w:val="Heading1"/>
        <w:keepNext/>
      </w:pPr>
      <w:r>
        <w:t>References</w:t>
      </w:r>
    </w:p>
    <w:p w:rsidR="00833CD8" w:rsidRDefault="00A43542">
      <w:pPr>
        <w:tabs>
          <w:tab w:val="left" w:pos="567"/>
        </w:tabs>
        <w:ind w:left="567" w:hanging="567"/>
      </w:pPr>
      <w:r>
        <w:rPr>
          <w:rFonts w:cs="Times New Roman"/>
        </w:rPr>
        <w:t>[1]</w:t>
      </w:r>
      <w:r>
        <w:rPr>
          <w:rFonts w:cs="Times New Roman"/>
        </w:rPr>
        <w:tab/>
      </w:r>
      <w:r>
        <w:rPr>
          <w:rFonts w:cs="Times New Roman"/>
        </w:rPr>
        <w:t>The Gene Ontology Consortium, The Gene Ontology knowledgebase in 2023, Genetics 224 (2023) iyad031. https://doi.org/10.1093/genetics/iyad031.</w:t>
      </w:r>
    </w:p>
    <w:p w:rsidR="00833CD8" w:rsidRDefault="00A43542">
      <w:pPr>
        <w:tabs>
          <w:tab w:val="left" w:pos="567"/>
        </w:tabs>
        <w:ind w:left="567" w:hanging="567"/>
      </w:pPr>
      <w:r>
        <w:rPr>
          <w:rFonts w:cs="Times New Roman"/>
        </w:rPr>
        <w:t>[2]</w:t>
      </w:r>
      <w:r>
        <w:rPr>
          <w:rFonts w:cs="Times New Roman"/>
        </w:rPr>
        <w:tab/>
      </w:r>
      <w:r>
        <w:rPr>
          <w:rFonts w:cs="Times New Roman"/>
        </w:rPr>
        <w:t>R. Leinonen, H. Sugawara, M. Shumway, The Sequence Read Archive, Nucleic Acids Res. 39 (2011) D19–D21. https:/</w:t>
      </w:r>
      <w:r>
        <w:rPr>
          <w:rFonts w:cs="Times New Roman"/>
        </w:rPr>
        <w:t>/doi.org/10.1093/nar/gkq1019.</w:t>
      </w:r>
    </w:p>
    <w:p w:rsidR="00833CD8" w:rsidRDefault="00A43542">
      <w:pPr>
        <w:tabs>
          <w:tab w:val="left" w:pos="567"/>
        </w:tabs>
        <w:ind w:left="567" w:hanging="567"/>
      </w:pPr>
      <w:r>
        <w:rPr>
          <w:rFonts w:cs="Times New Roman"/>
        </w:rPr>
        <w:t>[3]</w:t>
      </w:r>
      <w:r>
        <w:rPr>
          <w:rFonts w:cs="Times New Roman"/>
        </w:rPr>
        <w:tab/>
      </w:r>
      <w:r>
        <w:rPr>
          <w:rFonts w:cs="Times New Roman"/>
        </w:rPr>
        <w:t>S. Andrews, FastQC: a quality control tool for high throughput sequence data, Babraham Bioinformatics, 2010. https://www.bioinformatics.babraham.ac.uk/projects/fastqc/ (accessed 29 October 2026).</w:t>
      </w:r>
    </w:p>
    <w:p w:rsidR="00833CD8" w:rsidRDefault="00A43542">
      <w:pPr>
        <w:tabs>
          <w:tab w:val="left" w:pos="567"/>
        </w:tabs>
        <w:ind w:left="567" w:hanging="567"/>
      </w:pPr>
      <w:r>
        <w:rPr>
          <w:rFonts w:cs="Times New Roman"/>
        </w:rPr>
        <w:t>[4]</w:t>
      </w:r>
      <w:r>
        <w:rPr>
          <w:rFonts w:cs="Times New Roman"/>
        </w:rPr>
        <w:tab/>
      </w:r>
      <w:r>
        <w:rPr>
          <w:rFonts w:cs="Times New Roman"/>
        </w:rPr>
        <w:t>P. Ewels, M. Magnusson</w:t>
      </w:r>
      <w:r>
        <w:rPr>
          <w:rFonts w:cs="Times New Roman"/>
        </w:rPr>
        <w:t>, S. Lundin, M. Käller, MultiQC: summarize analysis results for multiple tools and samples in a single report, Bioinformatics 32 (2016) 3047–3048. https://doi.org/10.1093/bioinformatics/btw354.</w:t>
      </w:r>
    </w:p>
    <w:p w:rsidR="00833CD8" w:rsidRDefault="00A43542">
      <w:pPr>
        <w:tabs>
          <w:tab w:val="left" w:pos="567"/>
        </w:tabs>
        <w:ind w:left="567" w:hanging="567"/>
      </w:pPr>
      <w:r>
        <w:rPr>
          <w:rFonts w:cs="Times New Roman"/>
        </w:rPr>
        <w:t>[5]</w:t>
      </w:r>
      <w:r>
        <w:rPr>
          <w:rFonts w:cs="Times New Roman"/>
        </w:rPr>
        <w:tab/>
      </w:r>
      <w:r>
        <w:rPr>
          <w:rFonts w:cs="Times New Roman"/>
        </w:rPr>
        <w:t xml:space="preserve">A.M. Bolger, M. Lohse, B. Usadel, Trimmomatic: a flexible </w:t>
      </w:r>
      <w:r>
        <w:rPr>
          <w:rFonts w:cs="Times New Roman"/>
        </w:rPr>
        <w:t>trimmer for Illumina sequence data, Bioinformatics 30 (2014) 2114–2120. https://doi.org/10.1093/bioinformatics/btu170.</w:t>
      </w:r>
    </w:p>
    <w:p w:rsidR="00833CD8" w:rsidRDefault="00A43542">
      <w:pPr>
        <w:tabs>
          <w:tab w:val="left" w:pos="567"/>
        </w:tabs>
        <w:ind w:left="567" w:hanging="567"/>
      </w:pPr>
      <w:r>
        <w:rPr>
          <w:rFonts w:cs="Times New Roman"/>
        </w:rPr>
        <w:t>[6]</w:t>
      </w:r>
      <w:r>
        <w:rPr>
          <w:rFonts w:cs="Times New Roman"/>
        </w:rPr>
        <w:tab/>
      </w:r>
      <w:r>
        <w:rPr>
          <w:rFonts w:cs="Times New Roman"/>
        </w:rPr>
        <w:t>A. Dobin, C.A. Davis, F. Schlesinger, J. Drenkow, C. Zaleski, S. Jha, et al., STAR: ultrafast universal RNA-seq aligner, Bioinformati</w:t>
      </w:r>
      <w:r>
        <w:rPr>
          <w:rFonts w:cs="Times New Roman"/>
        </w:rPr>
        <w:t>cs 29 (2013) 15–21. https://doi.org/10.1093/bioinformatics/bts635.</w:t>
      </w:r>
    </w:p>
    <w:p w:rsidR="00833CD8" w:rsidRDefault="00A43542">
      <w:pPr>
        <w:tabs>
          <w:tab w:val="left" w:pos="567"/>
        </w:tabs>
        <w:ind w:left="567" w:hanging="567"/>
      </w:pPr>
      <w:r>
        <w:rPr>
          <w:rFonts w:cs="Times New Roman"/>
        </w:rPr>
        <w:t>[7]</w:t>
      </w:r>
      <w:r>
        <w:rPr>
          <w:rFonts w:cs="Times New Roman"/>
        </w:rPr>
        <w:tab/>
      </w:r>
      <w:r>
        <w:rPr>
          <w:rFonts w:cs="Times New Roman"/>
        </w:rPr>
        <w:t>G. Perez, G.P. Barber, A. Benet-Pages, J. Casper, H. Clawson, M. Diekhans, et al., The UCSC Genome Browser database: 2025 update, Nucleic Acids Res. 53 (2025) D1243–D1249. https://doi.o</w:t>
      </w:r>
      <w:r>
        <w:rPr>
          <w:rFonts w:cs="Times New Roman"/>
        </w:rPr>
        <w:t>rg/10.1093/nar/gkae974.</w:t>
      </w:r>
    </w:p>
    <w:p w:rsidR="00833CD8" w:rsidRDefault="00A43542">
      <w:pPr>
        <w:tabs>
          <w:tab w:val="left" w:pos="567"/>
        </w:tabs>
        <w:ind w:left="567" w:hanging="567"/>
      </w:pPr>
      <w:r>
        <w:rPr>
          <w:rFonts w:cs="Times New Roman"/>
        </w:rPr>
        <w:t>[8]</w:t>
      </w:r>
      <w:r>
        <w:rPr>
          <w:rFonts w:cs="Times New Roman"/>
        </w:rPr>
        <w:tab/>
      </w:r>
      <w:r>
        <w:rPr>
          <w:rFonts w:cs="Times New Roman"/>
        </w:rPr>
        <w:t>H. Li, B. Handsaker, A. Wysoker, T. Fennell, J. Ruan, N. Homer, et al., The Sequence Alignment/Map format and SAMtools, Bioinformatics 25 (2009) 2078–2079. https://doi.org/10.1093/bioinformatics/btp352.</w:t>
      </w:r>
    </w:p>
    <w:p w:rsidR="00833CD8" w:rsidRDefault="00A43542">
      <w:pPr>
        <w:tabs>
          <w:tab w:val="left" w:pos="567"/>
        </w:tabs>
        <w:ind w:left="567" w:hanging="567"/>
      </w:pPr>
      <w:r>
        <w:rPr>
          <w:rFonts w:cs="Times New Roman"/>
        </w:rPr>
        <w:lastRenderedPageBreak/>
        <w:t>[9]</w:t>
      </w:r>
      <w:r>
        <w:rPr>
          <w:rFonts w:cs="Times New Roman"/>
        </w:rPr>
        <w:tab/>
      </w:r>
      <w:r>
        <w:rPr>
          <w:rFonts w:cs="Times New Roman"/>
        </w:rPr>
        <w:t>P. Danecek, J.K. Bonf</w:t>
      </w:r>
      <w:r>
        <w:rPr>
          <w:rFonts w:cs="Times New Roman"/>
        </w:rPr>
        <w:t>ield, J. Liddle, J. Marshall, V. Ohan, M.O. Pollard, et al., Twelve years of SAMtools and BCFtools, GigaScience 10 (2021) giab008. https://doi.org/10.1093/gigascience/giab008.</w:t>
      </w:r>
    </w:p>
    <w:p w:rsidR="00833CD8" w:rsidRDefault="00A43542">
      <w:pPr>
        <w:tabs>
          <w:tab w:val="left" w:pos="567"/>
        </w:tabs>
        <w:ind w:left="567" w:hanging="567"/>
      </w:pPr>
      <w:r>
        <w:rPr>
          <w:rFonts w:cs="Times New Roman"/>
        </w:rPr>
        <w:t>[10]</w:t>
      </w:r>
      <w:r>
        <w:rPr>
          <w:rFonts w:cs="Times New Roman"/>
        </w:rPr>
        <w:tab/>
      </w:r>
      <w:r>
        <w:rPr>
          <w:rFonts w:cs="Times New Roman"/>
        </w:rPr>
        <w:t>S. Anders, P.T. Pyl, W. Huber, HTSeq: a Python framework to work with high-</w:t>
      </w:r>
      <w:r>
        <w:rPr>
          <w:rFonts w:cs="Times New Roman"/>
        </w:rPr>
        <w:t>throughput sequencing data, Bioinformatics 31 (2015) 166–169. https://doi.org/10.1093/bioinformatics/btu638.</w:t>
      </w:r>
    </w:p>
    <w:p w:rsidR="00833CD8" w:rsidRDefault="00A43542">
      <w:pPr>
        <w:tabs>
          <w:tab w:val="left" w:pos="567"/>
        </w:tabs>
        <w:ind w:left="567" w:hanging="567"/>
      </w:pPr>
      <w:r>
        <w:rPr>
          <w:rFonts w:cs="Times New Roman"/>
        </w:rPr>
        <w:t>[11]</w:t>
      </w:r>
      <w:r>
        <w:rPr>
          <w:rFonts w:cs="Times New Roman"/>
        </w:rPr>
        <w:tab/>
      </w:r>
      <w:r>
        <w:rPr>
          <w:rFonts w:cs="Times New Roman"/>
        </w:rPr>
        <w:t>G.H. Putri, S. Anders, P.T. Pyl, J.E. Pimanda, F. Zanini, Analysing high-throughput sequencing data in Python with HTSeq 2.0, Bioinformatics 3</w:t>
      </w:r>
      <w:r>
        <w:rPr>
          <w:rFonts w:cs="Times New Roman"/>
        </w:rPr>
        <w:t>8 (2022) 2943–2945. https://doi.org/10.1093/bioinformatics/btac166.</w:t>
      </w:r>
    </w:p>
    <w:p w:rsidR="00833CD8" w:rsidRDefault="00A43542">
      <w:pPr>
        <w:tabs>
          <w:tab w:val="left" w:pos="567"/>
        </w:tabs>
        <w:ind w:left="567" w:hanging="567"/>
      </w:pPr>
      <w:r>
        <w:rPr>
          <w:rFonts w:cs="Times New Roman"/>
        </w:rPr>
        <w:t>[12]</w:t>
      </w:r>
      <w:r>
        <w:rPr>
          <w:rFonts w:cs="Times New Roman"/>
        </w:rPr>
        <w:tab/>
      </w:r>
      <w:r>
        <w:rPr>
          <w:rFonts w:cs="Times New Roman"/>
        </w:rPr>
        <w:t>Y. Liao, G.K. Smyth, W. Shi, featureCounts: an efficient general purpose program for assigning sequence reads to genomic features, Bioinformatics 30 (2014) 923–930. https://doi.org/10</w:t>
      </w:r>
      <w:r>
        <w:rPr>
          <w:rFonts w:cs="Times New Roman"/>
        </w:rPr>
        <w:t>.1093/bioinformatics/btt656.</w:t>
      </w:r>
    </w:p>
    <w:p w:rsidR="00833CD8" w:rsidRDefault="00A43542">
      <w:pPr>
        <w:tabs>
          <w:tab w:val="left" w:pos="567"/>
        </w:tabs>
        <w:ind w:left="567" w:hanging="567"/>
      </w:pPr>
      <w:r>
        <w:rPr>
          <w:rFonts w:cs="Times New Roman"/>
        </w:rPr>
        <w:t>[13]</w:t>
      </w:r>
      <w:r>
        <w:rPr>
          <w:rFonts w:cs="Times New Roman"/>
        </w:rPr>
        <w:tab/>
      </w:r>
      <w:r>
        <w:rPr>
          <w:rFonts w:cs="Times New Roman"/>
        </w:rPr>
        <w:t>L. Kolberg, U. Raudvere, I. Kuzmin, P. Adler, J. Vilo, H. Peterson, g:Profiler—interoperable web service for functional enrichment analysis and gene identifier mapping (2023 update), Nucleic Acids Res. 51 (2023) W207–W212.</w:t>
      </w:r>
      <w:r>
        <w:rPr>
          <w:rFonts w:cs="Times New Roman"/>
        </w:rPr>
        <w:t xml:space="preserve"> https://doi.org/10.1093/nar/gkad347.</w:t>
      </w:r>
    </w:p>
    <w:p w:rsidR="00833CD8" w:rsidRDefault="00A43542">
      <w:pPr>
        <w:tabs>
          <w:tab w:val="left" w:pos="567"/>
        </w:tabs>
        <w:ind w:left="567" w:hanging="567"/>
      </w:pPr>
      <w:r>
        <w:rPr>
          <w:rFonts w:cs="Times New Roman"/>
        </w:rPr>
        <w:t>[14]</w:t>
      </w:r>
      <w:r>
        <w:rPr>
          <w:rFonts w:cs="Times New Roman"/>
        </w:rPr>
        <w:tab/>
      </w:r>
      <w:r>
        <w:rPr>
          <w:rFonts w:cs="Times New Roman"/>
        </w:rPr>
        <w:t>B. Muzellec, M. Teleńczuk, V. Cabeli, M. Andreux, PyDESeq2: a python package for bulk RNA-seq differential expression analysis, Bioinformatics 39 (2023) btad547. https://doi.org/10.1093/bioinformatics/btad547.</w:t>
      </w:r>
    </w:p>
    <w:p w:rsidR="00833CD8" w:rsidRDefault="00A43542">
      <w:pPr>
        <w:tabs>
          <w:tab w:val="left" w:pos="567"/>
        </w:tabs>
        <w:ind w:left="567" w:hanging="567"/>
      </w:pPr>
      <w:r>
        <w:rPr>
          <w:rFonts w:cs="Times New Roman"/>
        </w:rPr>
        <w:t>[15</w:t>
      </w:r>
      <w:r>
        <w:rPr>
          <w:rFonts w:cs="Times New Roman"/>
        </w:rPr>
        <w:t>]</w:t>
      </w:r>
      <w:r>
        <w:rPr>
          <w:rFonts w:cs="Times New Roman"/>
        </w:rPr>
        <w:tab/>
      </w:r>
      <w:r>
        <w:rPr>
          <w:rFonts w:cs="Times New Roman"/>
        </w:rPr>
        <w:t>M.I. Love, W. Huber, S. Anders, Moderated estimation of fold change and dispersion for RNA-seq data with DESeq2, Genome Biol. 15 (2014) 550. https://doi.org/10.1186/s13059-014-0550-8.</w:t>
      </w:r>
    </w:p>
    <w:p w:rsidR="00833CD8" w:rsidRDefault="00A43542">
      <w:pPr>
        <w:tabs>
          <w:tab w:val="left" w:pos="567"/>
        </w:tabs>
        <w:ind w:left="567" w:hanging="567"/>
      </w:pPr>
      <w:r>
        <w:rPr>
          <w:rFonts w:cs="Times New Roman"/>
        </w:rPr>
        <w:t>[16]</w:t>
      </w:r>
      <w:r>
        <w:rPr>
          <w:rFonts w:cs="Times New Roman"/>
        </w:rPr>
        <w:tab/>
      </w:r>
      <w:r>
        <w:rPr>
          <w:rFonts w:cs="Times New Roman"/>
        </w:rPr>
        <w:t>J. Xin, A. Mark, C. Afrasiabi, G. Tsueng, M. Juchler, N. Gopal, e</w:t>
      </w:r>
      <w:r>
        <w:rPr>
          <w:rFonts w:cs="Times New Roman"/>
        </w:rPr>
        <w:t>t al., High-performance web services for querying gene and variant annotation, Genome Biol. 17 (2016) 91. https://doi.org/10.1186/s13059-016-0953-9.</w:t>
      </w:r>
    </w:p>
    <w:p w:rsidR="00833CD8" w:rsidRDefault="00A43542">
      <w:pPr>
        <w:tabs>
          <w:tab w:val="left" w:pos="567"/>
        </w:tabs>
        <w:ind w:left="567" w:hanging="567"/>
      </w:pPr>
      <w:r>
        <w:rPr>
          <w:rFonts w:cs="Times New Roman"/>
        </w:rPr>
        <w:t>[17]</w:t>
      </w:r>
      <w:r>
        <w:rPr>
          <w:rFonts w:cs="Times New Roman"/>
        </w:rPr>
        <w:tab/>
      </w:r>
      <w:r>
        <w:rPr>
          <w:rFonts w:cs="Times New Roman"/>
        </w:rPr>
        <w:t>Z. Fang, X. Liu, G. Peltz, GSEApy: a comprehensive package for performing gene set enrichment analysis</w:t>
      </w:r>
      <w:r>
        <w:rPr>
          <w:rFonts w:cs="Times New Roman"/>
        </w:rPr>
        <w:t xml:space="preserve"> in Python, Bioinformatics 39 (2023) btac757. https://doi.org/10.1093/bioinformatics/btac757.</w:t>
      </w:r>
    </w:p>
    <w:p w:rsidR="00833CD8" w:rsidRDefault="00A43542">
      <w:pPr>
        <w:tabs>
          <w:tab w:val="left" w:pos="567"/>
        </w:tabs>
        <w:ind w:left="567" w:hanging="567"/>
      </w:pPr>
      <w:r>
        <w:rPr>
          <w:rFonts w:cs="Times New Roman"/>
        </w:rPr>
        <w:t>[18]</w:t>
      </w:r>
      <w:r>
        <w:rPr>
          <w:rFonts w:cs="Times New Roman"/>
        </w:rPr>
        <w:tab/>
      </w:r>
      <w:r>
        <w:rPr>
          <w:rFonts w:cs="Times New Roman"/>
        </w:rPr>
        <w:t>E.Y. Chen, C.M. Tan, Y. Kou, Q. Duan, Z. Wang, G.V. Meirelles, et al., Enrichr: interactive and collaborative HTML5 gene list enrichment analysis tool, BMC Bioinformatics 14 (2013) 128. https://doi.org/10.1186/1471-2105-14-128.</w:t>
      </w:r>
    </w:p>
    <w:p w:rsidR="00833CD8" w:rsidRDefault="00A43542">
      <w:pPr>
        <w:tabs>
          <w:tab w:val="left" w:pos="567"/>
        </w:tabs>
        <w:ind w:left="567" w:hanging="567"/>
      </w:pPr>
      <w:r>
        <w:rPr>
          <w:rFonts w:cs="Times New Roman"/>
        </w:rPr>
        <w:t>[19]</w:t>
      </w:r>
      <w:r>
        <w:rPr>
          <w:rFonts w:cs="Times New Roman"/>
        </w:rPr>
        <w:tab/>
      </w:r>
      <w:r>
        <w:rPr>
          <w:rFonts w:cs="Times New Roman"/>
        </w:rPr>
        <w:t>M.V. Kuleshov, M.R. Jon</w:t>
      </w:r>
      <w:r>
        <w:rPr>
          <w:rFonts w:cs="Times New Roman"/>
        </w:rPr>
        <w:t>es, A.D. Rouillard, N.F. Fernandez, Q. Duan, Z. Wang, et al., Enrichr: a comprehensive gene set enrichment analysis web server 2016 update, Nucleic Acids Res. 44 (2016) W90–W97. https://doi.org/10.1093/nar/gkw377.</w:t>
      </w:r>
    </w:p>
    <w:p w:rsidR="00833CD8" w:rsidRDefault="00A43542">
      <w:pPr>
        <w:tabs>
          <w:tab w:val="left" w:pos="567"/>
        </w:tabs>
        <w:ind w:left="567" w:hanging="567"/>
      </w:pPr>
      <w:r>
        <w:rPr>
          <w:rFonts w:cs="Times New Roman"/>
        </w:rPr>
        <w:lastRenderedPageBreak/>
        <w:t>[20]</w:t>
      </w:r>
      <w:r>
        <w:rPr>
          <w:rFonts w:cs="Times New Roman"/>
        </w:rPr>
        <w:tab/>
      </w:r>
      <w:r>
        <w:rPr>
          <w:rFonts w:cs="Times New Roman"/>
        </w:rPr>
        <w:t>Z. Xie, A. Bailey, M.V. Kuleshov, D.J</w:t>
      </w:r>
      <w:r>
        <w:rPr>
          <w:rFonts w:cs="Times New Roman"/>
        </w:rPr>
        <w:t>.B. Clarke, J.E. Evangelista, S.L. Jenkins, et al., Gene set knowledge discovery with Enrichr, Curr. Protoc. 1 (2021) e90. https://doi.org/10.1002/cpz1.90.</w:t>
      </w:r>
    </w:p>
    <w:p w:rsidR="00833CD8" w:rsidRDefault="00A43542">
      <w:pPr>
        <w:tabs>
          <w:tab w:val="left" w:pos="567"/>
        </w:tabs>
        <w:ind w:left="567" w:hanging="567"/>
      </w:pPr>
      <w:r>
        <w:rPr>
          <w:rFonts w:cs="Times New Roman"/>
        </w:rPr>
        <w:t>[21]</w:t>
      </w:r>
      <w:r>
        <w:rPr>
          <w:rFonts w:cs="Times New Roman"/>
        </w:rPr>
        <w:tab/>
      </w:r>
      <w:r>
        <w:rPr>
          <w:rFonts w:cs="Times New Roman"/>
        </w:rPr>
        <w:t>M. Ashburner, C.A. Ball, J.A. Blake, D. Botstein, H. Butler, J.M. Cherry, et al., Gene Ontology</w:t>
      </w:r>
      <w:r>
        <w:rPr>
          <w:rFonts w:cs="Times New Roman"/>
        </w:rPr>
        <w:t>: tool for the unification of biology, Nat. Genet. 25 (2000) 25–29. https://doi.org/10.1038/75556.</w:t>
      </w:r>
    </w:p>
    <w:p w:rsidR="00833CD8" w:rsidRDefault="00A43542">
      <w:pPr>
        <w:tabs>
          <w:tab w:val="left" w:pos="567"/>
        </w:tabs>
        <w:ind w:left="567" w:hanging="567"/>
      </w:pPr>
      <w:r>
        <w:rPr>
          <w:rFonts w:cs="Times New Roman"/>
        </w:rPr>
        <w:t>[22]</w:t>
      </w:r>
      <w:r>
        <w:rPr>
          <w:rFonts w:cs="Times New Roman"/>
        </w:rPr>
        <w:tab/>
      </w:r>
      <w:r>
        <w:rPr>
          <w:rFonts w:cs="Times New Roman"/>
        </w:rPr>
        <w:t>F. Pedregosa, G. Varoquaux, A. Gramfort, V. Michel, B. Thirion, O. Grisel, et al., Scikit-learn: machine learning in Python, J. Mach. Learn. Res. 12 (20</w:t>
      </w:r>
      <w:r>
        <w:rPr>
          <w:rFonts w:cs="Times New Roman"/>
        </w:rPr>
        <w:t>11) 2825–2830.</w:t>
      </w:r>
    </w:p>
    <w:p w:rsidR="00833CD8" w:rsidRDefault="00A43542">
      <w:pPr>
        <w:tabs>
          <w:tab w:val="left" w:pos="567"/>
        </w:tabs>
        <w:ind w:left="567" w:hanging="567"/>
      </w:pPr>
      <w:r>
        <w:rPr>
          <w:rFonts w:cs="Times New Roman"/>
        </w:rPr>
        <w:t>[23]</w:t>
      </w:r>
      <w:r>
        <w:rPr>
          <w:rFonts w:cs="Times New Roman"/>
        </w:rPr>
        <w:tab/>
      </w:r>
      <w:r>
        <w:rPr>
          <w:rFonts w:cs="Times New Roman"/>
        </w:rPr>
        <w:t>P. Virtanen, R. Gommers, T.E. Oliphant, M. Haberland, T. Reddy, D. Cournapeau, et al., SciPy 1.0: fundamental algorithms for scientific computing in Python, Nat. Methods 17 (2020) 261–272. https://doi.org/10.1038/s41592-019-0686-2.</w:t>
      </w:r>
    </w:p>
    <w:p w:rsidR="00833CD8" w:rsidRDefault="00A43542">
      <w:pPr>
        <w:tabs>
          <w:tab w:val="left" w:pos="567"/>
        </w:tabs>
        <w:ind w:left="567" w:hanging="567"/>
      </w:pPr>
      <w:r>
        <w:rPr>
          <w:rFonts w:cs="Times New Roman"/>
        </w:rPr>
        <w:t>[24]</w:t>
      </w:r>
      <w:r>
        <w:rPr>
          <w:rFonts w:cs="Times New Roman"/>
        </w:rPr>
        <w:tab/>
      </w:r>
      <w:r>
        <w:rPr>
          <w:rFonts w:cs="Times New Roman"/>
        </w:rPr>
        <w:t>W. McKinney, Data structures for statistical computing in Python, in: S. van der Walt, J. Millman (Eds.), Proceedings of the 9th Python in Science Conference, Austin, 2010, pp. 56–61. https://doi.org/10.25080/Majora-92bf1922-00a.</w:t>
      </w:r>
    </w:p>
    <w:p w:rsidR="00833CD8" w:rsidRDefault="00A43542">
      <w:pPr>
        <w:tabs>
          <w:tab w:val="left" w:pos="567"/>
        </w:tabs>
        <w:ind w:left="567" w:hanging="567"/>
      </w:pPr>
      <w:r>
        <w:rPr>
          <w:rFonts w:cs="Times New Roman"/>
        </w:rPr>
        <w:t>[25]</w:t>
      </w:r>
      <w:r>
        <w:rPr>
          <w:rFonts w:cs="Times New Roman"/>
        </w:rPr>
        <w:tab/>
      </w:r>
      <w:r>
        <w:rPr>
          <w:rFonts w:cs="Times New Roman"/>
        </w:rPr>
        <w:t>M.L. Waskom, seaborn</w:t>
      </w:r>
      <w:r>
        <w:rPr>
          <w:rFonts w:cs="Times New Roman"/>
        </w:rPr>
        <w:t>: statistical data visualization, J. Open Source Softw. 6 (2021) 3021. https://doi.org/10.21105/joss.03021.</w:t>
      </w:r>
    </w:p>
    <w:p w:rsidR="00833CD8" w:rsidRDefault="00A43542">
      <w:pPr>
        <w:tabs>
          <w:tab w:val="left" w:pos="567"/>
        </w:tabs>
        <w:ind w:left="567" w:hanging="567"/>
      </w:pPr>
      <w:r>
        <w:rPr>
          <w:rFonts w:cs="Times New Roman"/>
        </w:rPr>
        <w:t>[26]</w:t>
      </w:r>
      <w:r>
        <w:rPr>
          <w:rFonts w:cs="Times New Roman"/>
        </w:rPr>
        <w:tab/>
      </w:r>
      <w:r>
        <w:rPr>
          <w:rFonts w:cs="Times New Roman"/>
        </w:rPr>
        <w:t>J.D. Hunter, Matplotlib: a 2D graphics environment, Comput. Sci. Eng. 9 (2007) 90–95. https://doi.org/10.1109/MCSE.2007.55.</w:t>
      </w:r>
    </w:p>
    <w:p w:rsidR="00833CD8" w:rsidRDefault="00A43542">
      <w:pPr>
        <w:tabs>
          <w:tab w:val="left" w:pos="567"/>
        </w:tabs>
        <w:ind w:left="567" w:hanging="567"/>
      </w:pPr>
      <w:r>
        <w:rPr>
          <w:rFonts w:cs="Times New Roman"/>
        </w:rPr>
        <w:t>[27]</w:t>
      </w:r>
      <w:r>
        <w:rPr>
          <w:rFonts w:cs="Times New Roman"/>
        </w:rPr>
        <w:tab/>
      </w:r>
      <w:r>
        <w:rPr>
          <w:rFonts w:cs="Times New Roman"/>
        </w:rPr>
        <w:t xml:space="preserve">G. Rot, A. Wehling, R. Schmucki, N. Berntenis, J.D. Zhang, M. Ebeling, splicekit: an integrative toolkit for splicing analysis </w:t>
      </w:r>
      <w:r>
        <w:rPr>
          <w:rFonts w:cs="Times New Roman"/>
        </w:rPr>
        <w:t>from short-read RNA-seq, Bioinform. Adv. 4 (2024) vbae121. https://doi.org/10.1093/bioadv/vbae121.</w:t>
      </w:r>
    </w:p>
    <w:p w:rsidR="00833CD8" w:rsidRDefault="00A43542">
      <w:pPr>
        <w:tabs>
          <w:tab w:val="left" w:pos="567"/>
        </w:tabs>
        <w:ind w:left="567" w:hanging="567"/>
      </w:pPr>
      <w:r>
        <w:rPr>
          <w:rFonts w:cs="Times New Roman"/>
        </w:rPr>
        <w:t>[28]</w:t>
      </w:r>
      <w:r>
        <w:rPr>
          <w:rFonts w:cs="Times New Roman"/>
        </w:rPr>
        <w:tab/>
      </w:r>
      <w:r>
        <w:rPr>
          <w:rFonts w:cs="Times New Roman"/>
        </w:rPr>
        <w:t>M.D. Robinson, D.J. McCarthy, G.K. Smyth, edgeR: a Bioconductor package for differential expression analysis of digital gene expression data, Bioinforma</w:t>
      </w:r>
      <w:r>
        <w:rPr>
          <w:rFonts w:cs="Times New Roman"/>
        </w:rPr>
        <w:t>tics 26 (2010) 139–140. https://doi.org/10.1093/bioinformatics/btp616.</w:t>
      </w:r>
    </w:p>
    <w:p w:rsidR="00833CD8" w:rsidRDefault="00A43542">
      <w:pPr>
        <w:tabs>
          <w:tab w:val="left" w:pos="567"/>
        </w:tabs>
        <w:ind w:left="567" w:hanging="567"/>
      </w:pPr>
      <w:r>
        <w:rPr>
          <w:rFonts w:cs="Times New Roman"/>
        </w:rPr>
        <w:t>[29]</w:t>
      </w:r>
      <w:r>
        <w:rPr>
          <w:rFonts w:cs="Times New Roman"/>
        </w:rPr>
        <w:tab/>
      </w:r>
      <w:r>
        <w:rPr>
          <w:rFonts w:cs="Times New Roman"/>
        </w:rPr>
        <w:t>Y. Chen, L. Chen, A.T.L. Lun, P.L. Baldoni, G.K. Smyth, edgeR v4: powerful differential analysis of sequencing data with expanded functionality and improved support for small count</w:t>
      </w:r>
      <w:r>
        <w:rPr>
          <w:rFonts w:cs="Times New Roman"/>
        </w:rPr>
        <w:t>s and larger datasets, Nucleic Acids Res. 53 (2025) gkaf018. https://doi.org/10.1093/nar/gkaf018.</w:t>
      </w:r>
    </w:p>
    <w:p w:rsidR="00833CD8" w:rsidRDefault="00A43542">
      <w:pPr>
        <w:tabs>
          <w:tab w:val="left" w:pos="567"/>
        </w:tabs>
        <w:ind w:left="567" w:hanging="567"/>
      </w:pPr>
      <w:r>
        <w:rPr>
          <w:rFonts w:cs="Times New Roman"/>
        </w:rPr>
        <w:t>[30]</w:t>
      </w:r>
      <w:r>
        <w:rPr>
          <w:rFonts w:cs="Times New Roman"/>
        </w:rPr>
        <w:tab/>
      </w:r>
      <w:r>
        <w:rPr>
          <w:rFonts w:cs="Times New Roman"/>
        </w:rPr>
        <w:t>S. Uhrig, J. Ellermann, T. Walther, P. Burkhardt, M. Fröhlich, B. Hutter, et al., Accurate and efficient detection of gene fusions from RNA sequencing da</w:t>
      </w:r>
      <w:r>
        <w:rPr>
          <w:rFonts w:cs="Times New Roman"/>
        </w:rPr>
        <w:t>ta, Genome Res. 31 (2021) 448–460. https://doi.org/10.1101/gr.257246.119.</w:t>
      </w:r>
    </w:p>
    <w:p w:rsidR="00833CD8" w:rsidRDefault="00A43542">
      <w:pPr>
        <w:tabs>
          <w:tab w:val="left" w:pos="567"/>
        </w:tabs>
        <w:ind w:left="567" w:hanging="567"/>
      </w:pPr>
      <w:r>
        <w:rPr>
          <w:rFonts w:cs="Times New Roman"/>
        </w:rPr>
        <w:t>[31]</w:t>
      </w:r>
      <w:r>
        <w:rPr>
          <w:rFonts w:cs="Times New Roman"/>
        </w:rPr>
        <w:tab/>
      </w:r>
      <w:r>
        <w:rPr>
          <w:rFonts w:cs="Times New Roman"/>
        </w:rPr>
        <w:t>P. Mangal, O. Shinde, S. Chikhale, S. Bhowmick, M.A. Islam, SilicoXplore: an integrated cloud platform coupling machine learning with physics-based modelling for end-to-end drug</w:t>
      </w:r>
      <w:r>
        <w:rPr>
          <w:rFonts w:cs="Times New Roman"/>
        </w:rPr>
        <w:t xml:space="preserve"> discovery, applied to the computational prioritisation of putative New </w:t>
      </w:r>
      <w:r>
        <w:rPr>
          <w:rFonts w:cs="Times New Roman"/>
        </w:rPr>
        <w:lastRenderedPageBreak/>
        <w:t>Delhi metallo-β-lactamase-1 binders, J. Mol. Graph. Model. 149 (2026) 109566. https://doi.org/10.1016/j.jmgm.2026.109566.</w:t>
      </w:r>
    </w:p>
    <w:p w:rsidR="00833CD8" w:rsidRDefault="00A43542">
      <w:pPr>
        <w:tabs>
          <w:tab w:val="left" w:pos="567"/>
        </w:tabs>
        <w:ind w:left="567" w:hanging="567"/>
      </w:pPr>
      <w:r>
        <w:rPr>
          <w:rFonts w:cs="Times New Roman"/>
        </w:rPr>
        <w:t>[32]</w:t>
      </w:r>
      <w:r>
        <w:rPr>
          <w:rFonts w:cs="Times New Roman"/>
        </w:rPr>
        <w:tab/>
      </w:r>
      <w:r>
        <w:rPr>
          <w:rFonts w:cs="Times New Roman"/>
        </w:rPr>
        <w:t>M.J. Schafer, T.A. White, K. Iijima, A.J. Haak, G. Ligres</w:t>
      </w:r>
      <w:r>
        <w:rPr>
          <w:rFonts w:cs="Times New Roman"/>
        </w:rPr>
        <w:t>ti, E.J. Atkinson, et al., Cellular senescence mediates fibrotic pulmonary disease, Nat. Commun. 8 (2017) 14532. https://doi.org/10.1038/ncomms14532.</w:t>
      </w:r>
    </w:p>
    <w:p w:rsidR="00833CD8" w:rsidRDefault="00A43542">
      <w:pPr>
        <w:tabs>
          <w:tab w:val="left" w:pos="567"/>
        </w:tabs>
        <w:ind w:left="567" w:hanging="567"/>
      </w:pPr>
      <w:r>
        <w:rPr>
          <w:rFonts w:cs="Times New Roman"/>
        </w:rPr>
        <w:t>[33]</w:t>
      </w:r>
      <w:r>
        <w:rPr>
          <w:rFonts w:cs="Times New Roman"/>
        </w:rPr>
        <w:tab/>
      </w:r>
      <w:r>
        <w:rPr>
          <w:rFonts w:cs="Times New Roman"/>
        </w:rPr>
        <w:t>T. Barrett, S.E. Wilhite, P. Ledoux, C. Evangelista, I.F. Kim, M. Tomashevsky, et al., NCBI GEO: arch</w:t>
      </w:r>
      <w:r>
        <w:rPr>
          <w:rFonts w:cs="Times New Roman"/>
        </w:rPr>
        <w:t>ive for functional genomics data sets—update, Nucleic Acids Res. 41 (2013) D991–D995. https://doi.org/10.1093/nar/gks1193.</w:t>
      </w:r>
    </w:p>
    <w:sectPr w:rsidR="00833CD8">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43542" w:rsidRDefault="00A43542">
      <w:pPr>
        <w:spacing w:line="240" w:lineRule="auto"/>
      </w:pPr>
      <w:r>
        <w:separator/>
      </w:r>
    </w:p>
  </w:endnote>
  <w:endnote w:type="continuationSeparator" w:id="0">
    <w:p w:rsidR="00A43542" w:rsidRDefault="00A435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3CD8" w:rsidRDefault="00A43542">
    <w:pPr>
      <w:suppressLineNumbers/>
      <w:jc w:val="center"/>
    </w:pPr>
    <w:r>
      <w:rPr>
        <w:rFonts w:cs="Times New Roman"/>
        <w:sz w:val="20"/>
        <w:szCs w:val="20"/>
      </w:rPr>
      <w:fldChar w:fldCharType="begin"/>
    </w:r>
    <w:r>
      <w:rPr>
        <w:rFonts w:cs="Times New Roman"/>
        <w:sz w:val="20"/>
        <w:szCs w:val="20"/>
      </w:rPr>
      <w:instrText>PAGE</w:instrText>
    </w:r>
    <w:r w:rsidR="0002072B">
      <w:rPr>
        <w:rFonts w:cs="Times New Roman"/>
        <w:sz w:val="20"/>
        <w:szCs w:val="20"/>
      </w:rPr>
      <w:fldChar w:fldCharType="separate"/>
    </w:r>
    <w:r w:rsidR="0002072B">
      <w:rPr>
        <w:rFonts w:cs="Times New Roman"/>
        <w:noProof/>
        <w:sz w:val="20"/>
        <w:szCs w:val="20"/>
      </w:rPr>
      <w:t>1</w:t>
    </w:r>
    <w:r>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43542" w:rsidRDefault="00A43542">
      <w:pPr>
        <w:spacing w:line="240" w:lineRule="auto"/>
      </w:pPr>
      <w:r>
        <w:separator/>
      </w:r>
    </w:p>
  </w:footnote>
  <w:footnote w:type="continuationSeparator" w:id="0">
    <w:p w:rsidR="00A43542" w:rsidRDefault="00A435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641B71"/>
    <w:multiLevelType w:val="hybridMultilevel"/>
    <w:tmpl w:val="CFCA105A"/>
    <w:lvl w:ilvl="0" w:tplc="A4B40162">
      <w:start w:val="1"/>
      <w:numFmt w:val="bullet"/>
      <w:lvlText w:val="●"/>
      <w:lvlJc w:val="left"/>
      <w:pPr>
        <w:ind w:left="720" w:hanging="360"/>
      </w:pPr>
    </w:lvl>
    <w:lvl w:ilvl="1" w:tplc="6B0C110E">
      <w:start w:val="1"/>
      <w:numFmt w:val="bullet"/>
      <w:lvlText w:val="○"/>
      <w:lvlJc w:val="left"/>
      <w:pPr>
        <w:ind w:left="1440" w:hanging="360"/>
      </w:pPr>
    </w:lvl>
    <w:lvl w:ilvl="2" w:tplc="992242CE">
      <w:start w:val="1"/>
      <w:numFmt w:val="bullet"/>
      <w:lvlText w:val="■"/>
      <w:lvlJc w:val="left"/>
      <w:pPr>
        <w:ind w:left="2160" w:hanging="360"/>
      </w:pPr>
    </w:lvl>
    <w:lvl w:ilvl="3" w:tplc="678E3338">
      <w:start w:val="1"/>
      <w:numFmt w:val="bullet"/>
      <w:lvlText w:val="●"/>
      <w:lvlJc w:val="left"/>
      <w:pPr>
        <w:ind w:left="2880" w:hanging="360"/>
      </w:pPr>
    </w:lvl>
    <w:lvl w:ilvl="4" w:tplc="326CE488">
      <w:start w:val="1"/>
      <w:numFmt w:val="bullet"/>
      <w:lvlText w:val="○"/>
      <w:lvlJc w:val="left"/>
      <w:pPr>
        <w:ind w:left="3600" w:hanging="360"/>
      </w:pPr>
    </w:lvl>
    <w:lvl w:ilvl="5" w:tplc="C08A0B80">
      <w:start w:val="1"/>
      <w:numFmt w:val="bullet"/>
      <w:lvlText w:val="■"/>
      <w:lvlJc w:val="left"/>
      <w:pPr>
        <w:ind w:left="4320" w:hanging="360"/>
      </w:pPr>
    </w:lvl>
    <w:lvl w:ilvl="6" w:tplc="7B283A14">
      <w:start w:val="1"/>
      <w:numFmt w:val="bullet"/>
      <w:lvlText w:val="●"/>
      <w:lvlJc w:val="left"/>
      <w:pPr>
        <w:ind w:left="5040" w:hanging="360"/>
      </w:pPr>
    </w:lvl>
    <w:lvl w:ilvl="7" w:tplc="7A8E3532">
      <w:start w:val="1"/>
      <w:numFmt w:val="bullet"/>
      <w:lvlText w:val="●"/>
      <w:lvlJc w:val="left"/>
      <w:pPr>
        <w:ind w:left="5760" w:hanging="360"/>
      </w:pPr>
    </w:lvl>
    <w:lvl w:ilvl="8" w:tplc="07267A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CD8"/>
    <w:rsid w:val="0002072B"/>
    <w:rsid w:val="00833CD8"/>
    <w:rsid w:val="00A4354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4:docId w14:val="25BFEAF3"/>
  <w15:docId w15:val="{CE424755-91E2-D043-88E2-A5DF2257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bn-IN"/>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Vrinda"/>
    </w:rPr>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10588</Words>
  <Characters>60358</Characters>
  <Application>Microsoft Office Word</Application>
  <DocSecurity>0</DocSecurity>
  <Lines>502</Lines>
  <Paragraphs>141</Paragraphs>
  <ScaleCrop>false</ScaleCrop>
  <Company/>
  <LinksUpToDate>false</LinksUpToDate>
  <CharactersWithSpaces>70805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SilicoScientia</dc:creator>
  <cp:lastModifiedBy>Microsoft Office User</cp:lastModifiedBy>
  <cp:revision>2</cp:revision>
  <dcterms:created xsi:type="dcterms:W3CDTF">2026-10-30T05:32:00Z</dcterms:created>
  <dcterms:modified xsi:type="dcterms:W3CDTF">2026-10-30T06:49:00Z</dcterms:modified>
</cp:coreProperties>
</file>