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080FB" w14:textId="261D3E35" w:rsidR="00B62682" w:rsidRDefault="00B62682" w:rsidP="00B62682">
      <w:pPr>
        <w:pStyle w:val="Heading2"/>
      </w:pPr>
      <w:r>
        <w:t>NOTES TO THE FINANCIAL STATEMENTS</w:t>
      </w:r>
    </w:p>
    <w:p w14:paraId="6E5BB173" w14:textId="77777777" w:rsidR="00B62682" w:rsidRPr="00B62682" w:rsidRDefault="00B62682" w:rsidP="00B62682"/>
    <w:p w14:paraId="276CE10B" w14:textId="7DC2FAE8" w:rsidR="003412AC" w:rsidRPr="00B62682" w:rsidRDefault="003412AC" w:rsidP="00B62682">
      <w:pPr>
        <w:pStyle w:val="Heading3"/>
      </w:pPr>
      <w:r w:rsidRPr="00B62682">
        <w:t>NOTE 1.  SUMMARY OF SIGNIFICANT ACCOUNTING POLICIES</w:t>
      </w:r>
    </w:p>
    <w:p w14:paraId="17021EF1" w14:textId="77777777" w:rsidR="003412AC" w:rsidRPr="00B62682" w:rsidRDefault="003412AC" w:rsidP="00B62682">
      <w:pPr>
        <w:pStyle w:val="Heading4"/>
      </w:pPr>
      <w:r w:rsidRPr="00B62682">
        <w:t>A.  Reporting Entity</w:t>
      </w:r>
    </w:p>
    <w:p w14:paraId="4769C304" w14:textId="77777777" w:rsidR="003412AC" w:rsidRPr="0010226A" w:rsidRDefault="003412AC" w:rsidP="003412AC">
      <w:pPr>
        <w:spacing w:after="240"/>
        <w:jc w:val="both"/>
        <w:rPr>
          <w:sz w:val="22"/>
        </w:rPr>
      </w:pPr>
      <w:r w:rsidRPr="0010226A">
        <w:rPr>
          <w:sz w:val="22"/>
        </w:rPr>
        <w:t>The Access Board is an independent Federal agency that promotes equality for people with disabilities through leadership in accessible design and the development of accessibility guidelines and standards.</w:t>
      </w:r>
    </w:p>
    <w:p w14:paraId="3F6B4486" w14:textId="77777777" w:rsidR="003412AC" w:rsidRPr="0010226A" w:rsidRDefault="003412AC" w:rsidP="003412AC">
      <w:pPr>
        <w:spacing w:after="240"/>
        <w:jc w:val="both"/>
        <w:rPr>
          <w:sz w:val="22"/>
        </w:rPr>
      </w:pPr>
      <w:r w:rsidRPr="0010226A">
        <w:rPr>
          <w:sz w:val="22"/>
        </w:rPr>
        <w:t>Created in 1973 under section 502 of the Rehabilitation Act to ensure access to federally funded facilities, the Board now is a leading source of information on accessible design.  The Board develops and maintains design criteria for the built environment, transit, vehicles, telecommunications equipment, medical diagnostic equipment and information technology</w:t>
      </w:r>
      <w:proofErr w:type="gramStart"/>
      <w:r w:rsidRPr="0010226A">
        <w:rPr>
          <w:sz w:val="22"/>
        </w:rPr>
        <w:t xml:space="preserve">. </w:t>
      </w:r>
      <w:proofErr w:type="gramEnd"/>
      <w:r w:rsidRPr="0010226A">
        <w:rPr>
          <w:sz w:val="22"/>
        </w:rPr>
        <w:t>It also provides technical assistance and training on these requirements and on accessible design and continues to enforce accessibility standards that cover federally funded facilities.</w:t>
      </w:r>
    </w:p>
    <w:p w14:paraId="11309AE1" w14:textId="77777777" w:rsidR="003412AC" w:rsidRPr="0010226A" w:rsidRDefault="003412AC" w:rsidP="003412AC">
      <w:pPr>
        <w:spacing w:after="240"/>
        <w:jc w:val="both"/>
        <w:rPr>
          <w:sz w:val="22"/>
        </w:rPr>
      </w:pPr>
      <w:r w:rsidRPr="0010226A">
        <w:rPr>
          <w:sz w:val="22"/>
        </w:rPr>
        <w:t xml:space="preserve">Access Board’s reporting entity is comprised of General Funds and General </w:t>
      </w:r>
      <w:r>
        <w:rPr>
          <w:sz w:val="22"/>
        </w:rPr>
        <w:t xml:space="preserve">Fund </w:t>
      </w:r>
      <w:r w:rsidRPr="0010226A">
        <w:rPr>
          <w:sz w:val="22"/>
        </w:rPr>
        <w:t>Miscellaneous Receipts</w:t>
      </w:r>
      <w:proofErr w:type="gramStart"/>
      <w:r w:rsidRPr="0010226A">
        <w:rPr>
          <w:sz w:val="22"/>
        </w:rPr>
        <w:t xml:space="preserve">. </w:t>
      </w:r>
      <w:proofErr w:type="gramEnd"/>
      <w:r w:rsidRPr="0010226A">
        <w:rPr>
          <w:sz w:val="22"/>
        </w:rPr>
        <w:t>General Funds are accounts used to record financial transactions arising under congressional appropriations or other authorizations to spend general revenues.</w:t>
      </w:r>
    </w:p>
    <w:p w14:paraId="10B2672F" w14:textId="77777777" w:rsidR="003412AC" w:rsidRPr="0010226A" w:rsidRDefault="003412AC" w:rsidP="003412AC">
      <w:pPr>
        <w:spacing w:after="240"/>
        <w:jc w:val="both"/>
        <w:rPr>
          <w:sz w:val="22"/>
        </w:rPr>
      </w:pPr>
      <w:r w:rsidRPr="0010226A">
        <w:rPr>
          <w:sz w:val="22"/>
        </w:rPr>
        <w:t xml:space="preserve">General Fund miscellaneous receipts are accounts established for receipts of non-recurring activity, such as fines, penalties, fees and other miscellaneous receipts for services and benefits. </w:t>
      </w:r>
    </w:p>
    <w:p w14:paraId="272D2774" w14:textId="77777777" w:rsidR="003412AC" w:rsidRPr="0010226A" w:rsidRDefault="003412AC" w:rsidP="003412AC">
      <w:pPr>
        <w:spacing w:after="240"/>
        <w:jc w:val="both"/>
        <w:rPr>
          <w:sz w:val="22"/>
        </w:rPr>
      </w:pPr>
      <w:r w:rsidRPr="0010226A">
        <w:rPr>
          <w:sz w:val="22"/>
        </w:rPr>
        <w:t xml:space="preserve">Access Board has rights and ownership of all assets reported in these financial </w:t>
      </w:r>
      <w:proofErr w:type="gramStart"/>
      <w:r w:rsidRPr="0010226A">
        <w:rPr>
          <w:sz w:val="22"/>
        </w:rPr>
        <w:t>statements, and</w:t>
      </w:r>
      <w:proofErr w:type="gramEnd"/>
      <w:r w:rsidRPr="0010226A">
        <w:rPr>
          <w:sz w:val="22"/>
        </w:rPr>
        <w:t xml:space="preserve"> does not possess any non-entity assets.</w:t>
      </w:r>
    </w:p>
    <w:p w14:paraId="0A4F5B85" w14:textId="77777777" w:rsidR="003412AC" w:rsidRPr="0010226A" w:rsidRDefault="003412AC" w:rsidP="00B62682">
      <w:pPr>
        <w:pStyle w:val="Heading4"/>
      </w:pPr>
      <w:r w:rsidRPr="0010226A">
        <w:t>B.  Basis of Presentation</w:t>
      </w:r>
    </w:p>
    <w:p w14:paraId="2176B0A5" w14:textId="77777777" w:rsidR="003412AC" w:rsidRPr="0010226A" w:rsidRDefault="003412AC" w:rsidP="003412AC">
      <w:pPr>
        <w:spacing w:after="240"/>
        <w:jc w:val="both"/>
        <w:rPr>
          <w:sz w:val="22"/>
        </w:rPr>
      </w:pPr>
      <w:r w:rsidRPr="0010226A">
        <w:rPr>
          <w:sz w:val="22"/>
        </w:rPr>
        <w:t xml:space="preserve">The financial statements have been prepared to report the financial position and results of operations of Access Board.  </w:t>
      </w:r>
      <w:r w:rsidRPr="0010226A">
        <w:rPr>
          <w:color w:val="1B1B19"/>
          <w:sz w:val="22"/>
          <w:szCs w:val="22"/>
        </w:rPr>
        <w:t>The Balance Sheet presents the financial position of the agency</w:t>
      </w:r>
      <w:proofErr w:type="gramStart"/>
      <w:r w:rsidRPr="0010226A">
        <w:rPr>
          <w:color w:val="1B1B19"/>
          <w:sz w:val="22"/>
          <w:szCs w:val="22"/>
        </w:rPr>
        <w:t xml:space="preserve">. </w:t>
      </w:r>
      <w:proofErr w:type="gramEnd"/>
      <w:r w:rsidRPr="0010226A">
        <w:rPr>
          <w:color w:val="1B1B19"/>
          <w:sz w:val="22"/>
          <w:szCs w:val="22"/>
        </w:rPr>
        <w:t>The Statement of Net Cost presents the agency’s operating results; the Statement of Changes in Net Position displays the changes in the agency’s equity accounts</w:t>
      </w:r>
      <w:proofErr w:type="gramStart"/>
      <w:r w:rsidRPr="0010226A">
        <w:rPr>
          <w:color w:val="1B1B19"/>
          <w:sz w:val="22"/>
          <w:szCs w:val="22"/>
        </w:rPr>
        <w:t xml:space="preserve">. </w:t>
      </w:r>
      <w:proofErr w:type="gramEnd"/>
      <w:r w:rsidRPr="0010226A">
        <w:rPr>
          <w:color w:val="1B1B19"/>
          <w:sz w:val="22"/>
          <w:szCs w:val="22"/>
        </w:rPr>
        <w:t>The Statement of Budgetary Resources presents the sources, status, and uses of the agency’s resources and follow the rules for the Budget of the United States Government.</w:t>
      </w:r>
    </w:p>
    <w:p w14:paraId="61636DAD" w14:textId="77777777" w:rsidR="003412AC" w:rsidRPr="0010226A" w:rsidRDefault="003412AC" w:rsidP="003412AC">
      <w:pPr>
        <w:spacing w:after="240"/>
        <w:jc w:val="both"/>
        <w:rPr>
          <w:sz w:val="22"/>
        </w:rPr>
      </w:pPr>
      <w:r w:rsidRPr="0010226A">
        <w:rPr>
          <w:sz w:val="22"/>
        </w:rPr>
        <w:t>The statements are a requirement of the Chief Financial Officers Act of 1990 and the Government Management Reform Act of 1994</w:t>
      </w:r>
      <w:proofErr w:type="gramStart"/>
      <w:r w:rsidRPr="0010226A">
        <w:rPr>
          <w:i/>
          <w:iCs/>
          <w:sz w:val="22"/>
        </w:rPr>
        <w:t xml:space="preserve">. </w:t>
      </w:r>
      <w:proofErr w:type="gramEnd"/>
      <w:r w:rsidRPr="0010226A">
        <w:rPr>
          <w:sz w:val="22"/>
        </w:rPr>
        <w:t xml:space="preserve">They have been prepared from, and are fully supported by, the books and records of Access Board in accordance with the hierarchy of accounting principles generally accepted in the United States of America, standards issued by the Federal Accounting Standards Advisory Board (FASAB), Office of Management and Budget (OMB) Circular A-136, </w:t>
      </w:r>
      <w:r w:rsidRPr="0010226A">
        <w:rPr>
          <w:i/>
          <w:iCs/>
          <w:sz w:val="22"/>
        </w:rPr>
        <w:t xml:space="preserve">Financial Reporting Requirements, </w:t>
      </w:r>
      <w:r w:rsidRPr="0010226A">
        <w:rPr>
          <w:iCs/>
          <w:sz w:val="22"/>
        </w:rPr>
        <w:t>as amended</w:t>
      </w:r>
      <w:r w:rsidRPr="0010226A">
        <w:rPr>
          <w:i/>
          <w:iCs/>
          <w:sz w:val="22"/>
        </w:rPr>
        <w:t>,</w:t>
      </w:r>
      <w:r w:rsidRPr="0010226A">
        <w:rPr>
          <w:sz w:val="22"/>
        </w:rPr>
        <w:t xml:space="preserve"> and Access Board accounting policies which are summarized in this note.  These statements, </w:t>
      </w:r>
      <w:proofErr w:type="gramStart"/>
      <w:r w:rsidRPr="0010226A">
        <w:rPr>
          <w:sz w:val="22"/>
        </w:rPr>
        <w:t>with the exception of</w:t>
      </w:r>
      <w:proofErr w:type="gramEnd"/>
      <w:r w:rsidRPr="0010226A">
        <w:rPr>
          <w:sz w:val="22"/>
        </w:rPr>
        <w:t xml:space="preserve"> the Statement of Budgetary Resources, are different from financial management reports, which are also prepared pursuant to OMB directives that are used to monitor and control Access Board’s use of budgetary resources.  The financial statements and associated notes are presented on a comparative basis.  Unless specified otherwise, all amounts are presented in dollars.</w:t>
      </w:r>
    </w:p>
    <w:p w14:paraId="3E73677B" w14:textId="77777777" w:rsidR="003412AC" w:rsidRPr="0010226A" w:rsidRDefault="003412AC" w:rsidP="00B62682">
      <w:pPr>
        <w:pStyle w:val="Heading4"/>
      </w:pPr>
      <w:r w:rsidRPr="0010226A">
        <w:t>C.  Basis of Accounting</w:t>
      </w:r>
    </w:p>
    <w:p w14:paraId="6C55A728" w14:textId="77777777" w:rsidR="003412AC" w:rsidRPr="0010226A" w:rsidRDefault="003412AC" w:rsidP="003412AC">
      <w:pPr>
        <w:spacing w:after="240"/>
        <w:jc w:val="both"/>
        <w:rPr>
          <w:sz w:val="22"/>
        </w:rPr>
      </w:pPr>
      <w:r w:rsidRPr="0010226A">
        <w:rPr>
          <w:sz w:val="22"/>
        </w:rPr>
        <w:t xml:space="preserve">Transactions are recorded on both an accrual accounting basis and a budgetary basis.  Under the accrual method, revenues are recognized when earned, and expenses are recognized when a liability is incurred, </w:t>
      </w:r>
      <w:r w:rsidRPr="0010226A">
        <w:rPr>
          <w:sz w:val="22"/>
        </w:rPr>
        <w:lastRenderedPageBreak/>
        <w:t>without regard to receipt or payment of cash.  Budgetary accounting facilitates compliance with legal requirements on the use of federal funds.</w:t>
      </w:r>
    </w:p>
    <w:p w14:paraId="2CFAA2B1" w14:textId="77777777" w:rsidR="003412AC" w:rsidRPr="0010226A" w:rsidRDefault="003412AC" w:rsidP="00B62682">
      <w:pPr>
        <w:pStyle w:val="Heading4"/>
      </w:pPr>
      <w:r w:rsidRPr="0010226A">
        <w:t>D.  Fund Balance with Treasury</w:t>
      </w:r>
    </w:p>
    <w:p w14:paraId="26402F34" w14:textId="77777777" w:rsidR="003412AC" w:rsidRPr="0010226A" w:rsidRDefault="003412AC" w:rsidP="003412AC">
      <w:pPr>
        <w:autoSpaceDE w:val="0"/>
        <w:autoSpaceDN w:val="0"/>
        <w:adjustRightInd w:val="0"/>
        <w:spacing w:after="240" w:line="181" w:lineRule="atLeast"/>
        <w:jc w:val="both"/>
        <w:rPr>
          <w:color w:val="1B1B19"/>
          <w:sz w:val="22"/>
          <w:szCs w:val="22"/>
        </w:rPr>
      </w:pPr>
      <w:r w:rsidRPr="0010226A">
        <w:rPr>
          <w:color w:val="1B1B19"/>
          <w:sz w:val="22"/>
          <w:szCs w:val="22"/>
        </w:rPr>
        <w:t xml:space="preserve">Fund Balance with Treasury is the aggregate amount of Access Board’s funds with Treasury in expenditure, receipt, and deposit fund accounts.  Appropriated funds recorded in expenditure accounts are available to pay current liabilities and finance authorized purchases. </w:t>
      </w:r>
    </w:p>
    <w:p w14:paraId="075F9BA3" w14:textId="77777777" w:rsidR="003412AC" w:rsidRPr="0010226A" w:rsidRDefault="003412AC" w:rsidP="003412AC">
      <w:pPr>
        <w:autoSpaceDE w:val="0"/>
        <w:autoSpaceDN w:val="0"/>
        <w:adjustRightInd w:val="0"/>
        <w:spacing w:after="240" w:line="181" w:lineRule="atLeast"/>
        <w:jc w:val="both"/>
        <w:rPr>
          <w:rFonts w:ascii="ITC Giovanni Std Book" w:hAnsi="ITC Giovanni Std Book"/>
          <w:sz w:val="22"/>
        </w:rPr>
      </w:pPr>
      <w:r w:rsidRPr="0010226A">
        <w:rPr>
          <w:color w:val="1B1B19"/>
          <w:sz w:val="22"/>
          <w:szCs w:val="22"/>
        </w:rPr>
        <w:t>Access Board does not maintain bank accounts of its own, has no disbursing authority, and does not maintain cash held outside of Treasury</w:t>
      </w:r>
      <w:proofErr w:type="gramStart"/>
      <w:r w:rsidRPr="0010226A">
        <w:rPr>
          <w:color w:val="1B1B19"/>
          <w:sz w:val="22"/>
          <w:szCs w:val="22"/>
        </w:rPr>
        <w:t xml:space="preserve">. </w:t>
      </w:r>
      <w:proofErr w:type="gramEnd"/>
      <w:r w:rsidRPr="0010226A">
        <w:rPr>
          <w:color w:val="1B1B19"/>
          <w:sz w:val="22"/>
          <w:szCs w:val="22"/>
        </w:rPr>
        <w:t xml:space="preserve">Treasury disburses funds for the agency on demand. </w:t>
      </w:r>
    </w:p>
    <w:p w14:paraId="79E26319" w14:textId="77777777" w:rsidR="003412AC" w:rsidRPr="0010226A" w:rsidRDefault="003412AC" w:rsidP="00B62682">
      <w:pPr>
        <w:pStyle w:val="Heading4"/>
      </w:pPr>
      <w:r w:rsidRPr="0010226A">
        <w:t>E.  Accounts Receivable</w:t>
      </w:r>
    </w:p>
    <w:p w14:paraId="7D00C0B2" w14:textId="77777777" w:rsidR="003412AC" w:rsidRPr="0010226A" w:rsidRDefault="003412AC" w:rsidP="003412AC">
      <w:pPr>
        <w:spacing w:after="240"/>
        <w:jc w:val="both"/>
        <w:rPr>
          <w:sz w:val="22"/>
        </w:rPr>
      </w:pPr>
      <w:r w:rsidRPr="0010226A">
        <w:rPr>
          <w:sz w:val="22"/>
        </w:rPr>
        <w:t xml:space="preserve">Accounts receivable consists of amounts owed to Access Board by other federal agencies and the </w:t>
      </w:r>
      <w:proofErr w:type="gramStart"/>
      <w:r w:rsidRPr="0010226A">
        <w:rPr>
          <w:sz w:val="22"/>
        </w:rPr>
        <w:t>general public</w:t>
      </w:r>
      <w:proofErr w:type="gramEnd"/>
      <w:r w:rsidRPr="0010226A">
        <w:rPr>
          <w:sz w:val="22"/>
        </w:rPr>
        <w:t>.  Amounts due from federal agencies are considered fully collectible.  Accounts receivable from the public include reimbursements from employees.  An allowance for uncollectible accounts receivable from the public is established when, based upon a review of outstanding accounts and the failure of all collection efforts, management determines that collection is unlikely to occur considering the debtor’s ability to pay.</w:t>
      </w:r>
    </w:p>
    <w:p w14:paraId="20ED6E5E" w14:textId="77777777" w:rsidR="003412AC" w:rsidRPr="0010226A" w:rsidRDefault="003412AC" w:rsidP="003412AC">
      <w:pPr>
        <w:spacing w:after="240"/>
        <w:jc w:val="both"/>
        <w:rPr>
          <w:b/>
          <w:bCs/>
          <w:iCs/>
          <w:sz w:val="22"/>
        </w:rPr>
      </w:pPr>
      <w:r w:rsidRPr="0010226A">
        <w:rPr>
          <w:b/>
          <w:bCs/>
          <w:iCs/>
          <w:sz w:val="22"/>
        </w:rPr>
        <w:t>F.  Property, Equipment, and Software</w:t>
      </w:r>
    </w:p>
    <w:p w14:paraId="4FAFCFCF" w14:textId="77777777" w:rsidR="003412AC" w:rsidRPr="0010226A" w:rsidRDefault="003412AC" w:rsidP="003412AC">
      <w:pPr>
        <w:spacing w:after="240"/>
        <w:jc w:val="both"/>
        <w:rPr>
          <w:sz w:val="22"/>
        </w:rPr>
      </w:pPr>
      <w:r w:rsidRPr="0010226A">
        <w:rPr>
          <w:sz w:val="22"/>
        </w:rPr>
        <w:t xml:space="preserve">Property, </w:t>
      </w:r>
      <w:proofErr w:type="gramStart"/>
      <w:r w:rsidRPr="0010226A">
        <w:rPr>
          <w:sz w:val="22"/>
        </w:rPr>
        <w:t>equipment</w:t>
      </w:r>
      <w:proofErr w:type="gramEnd"/>
      <w:r w:rsidRPr="0010226A">
        <w:rPr>
          <w:sz w:val="22"/>
        </w:rPr>
        <w:t xml:space="preserve"> and software represent furniture, fixtures, equipment, and information technology hardware and software which are recorded at original acquisition cost and are depreciated or amortized using the straight-line method over their estimated useful lives.  Major alterations and renovations are capitalized, while maintenance and repair costs are expensed as incurred.  Access Board’s capitalization threshold is $50,000 for individual purchases and $500,000 for bulk purchases.  Property, equipment, and software acquisitions that do not meet the capitalization criteria are expensed upon receipt.  Applicable standard governmental guidelines regulate the disposal and convertibility of agency property, equipment, and software.  The useful life classifications for capitalized assets are as follows:</w:t>
      </w:r>
    </w:p>
    <w:tbl>
      <w:tblPr>
        <w:tblW w:w="4557" w:type="dxa"/>
        <w:jc w:val="center"/>
        <w:tblCellMar>
          <w:left w:w="0" w:type="dxa"/>
          <w:right w:w="0" w:type="dxa"/>
        </w:tblCellMar>
        <w:tblLook w:val="0000" w:firstRow="0" w:lastRow="0" w:firstColumn="0" w:lastColumn="0" w:noHBand="0" w:noVBand="0"/>
      </w:tblPr>
      <w:tblGrid>
        <w:gridCol w:w="2586"/>
        <w:gridCol w:w="2003"/>
      </w:tblGrid>
      <w:tr w:rsidR="003412AC" w:rsidRPr="0010226A" w14:paraId="6B94A585" w14:textId="77777777" w:rsidTr="007563A5">
        <w:trPr>
          <w:trHeight w:val="315"/>
          <w:jc w:val="center"/>
        </w:trPr>
        <w:tc>
          <w:tcPr>
            <w:tcW w:w="2570" w:type="dxa"/>
            <w:tcBorders>
              <w:top w:val="nil"/>
              <w:left w:val="nil"/>
              <w:bottom w:val="nil"/>
              <w:right w:val="nil"/>
            </w:tcBorders>
            <w:noWrap/>
            <w:vAlign w:val="bottom"/>
          </w:tcPr>
          <w:p w14:paraId="26C412DD" w14:textId="77777777" w:rsidR="003412AC" w:rsidRPr="0010226A" w:rsidRDefault="003412AC" w:rsidP="007563A5">
            <w:pPr>
              <w:ind w:left="214"/>
              <w:rPr>
                <w:rFonts w:eastAsia="Arial Unicode MS"/>
                <w:sz w:val="22"/>
                <w:u w:val="single"/>
              </w:rPr>
            </w:pPr>
            <w:r w:rsidRPr="0010226A">
              <w:rPr>
                <w:sz w:val="22"/>
                <w:u w:val="single"/>
              </w:rPr>
              <w:t>Description</w:t>
            </w:r>
          </w:p>
        </w:tc>
        <w:tc>
          <w:tcPr>
            <w:tcW w:w="1987" w:type="dxa"/>
            <w:tcBorders>
              <w:top w:val="nil"/>
              <w:left w:val="nil"/>
              <w:bottom w:val="nil"/>
              <w:right w:val="nil"/>
            </w:tcBorders>
            <w:noWrap/>
            <w:vAlign w:val="bottom"/>
          </w:tcPr>
          <w:p w14:paraId="4B1479E2" w14:textId="77777777" w:rsidR="003412AC" w:rsidRPr="0010226A" w:rsidRDefault="003412AC" w:rsidP="007563A5">
            <w:pPr>
              <w:ind w:right="176"/>
              <w:jc w:val="center"/>
              <w:rPr>
                <w:rFonts w:eastAsia="Arial Unicode MS"/>
                <w:sz w:val="22"/>
                <w:u w:val="single"/>
              </w:rPr>
            </w:pPr>
            <w:r w:rsidRPr="0010226A">
              <w:rPr>
                <w:sz w:val="22"/>
                <w:u w:val="single"/>
              </w:rPr>
              <w:t>Useful Life (years)</w:t>
            </w:r>
          </w:p>
        </w:tc>
      </w:tr>
      <w:tr w:rsidR="003412AC" w:rsidRPr="0010226A" w14:paraId="2753C01B" w14:textId="77777777" w:rsidTr="007563A5">
        <w:trPr>
          <w:trHeight w:val="315"/>
          <w:jc w:val="center"/>
        </w:trPr>
        <w:tc>
          <w:tcPr>
            <w:tcW w:w="2570" w:type="dxa"/>
            <w:tcBorders>
              <w:top w:val="nil"/>
              <w:left w:val="nil"/>
              <w:bottom w:val="nil"/>
              <w:right w:val="nil"/>
            </w:tcBorders>
            <w:noWrap/>
            <w:vAlign w:val="bottom"/>
          </w:tcPr>
          <w:p w14:paraId="409ED807" w14:textId="77777777" w:rsidR="003412AC" w:rsidRPr="0010226A" w:rsidRDefault="003412AC" w:rsidP="007563A5">
            <w:pPr>
              <w:ind w:left="214"/>
              <w:rPr>
                <w:sz w:val="22"/>
              </w:rPr>
            </w:pPr>
          </w:p>
        </w:tc>
        <w:tc>
          <w:tcPr>
            <w:tcW w:w="1987" w:type="dxa"/>
            <w:tcBorders>
              <w:top w:val="nil"/>
              <w:left w:val="nil"/>
              <w:bottom w:val="nil"/>
              <w:right w:val="nil"/>
            </w:tcBorders>
            <w:noWrap/>
            <w:vAlign w:val="bottom"/>
          </w:tcPr>
          <w:p w14:paraId="28D24FFF" w14:textId="77777777" w:rsidR="003412AC" w:rsidRPr="0010226A" w:rsidRDefault="003412AC" w:rsidP="007563A5">
            <w:pPr>
              <w:jc w:val="center"/>
              <w:rPr>
                <w:sz w:val="22"/>
              </w:rPr>
            </w:pPr>
          </w:p>
        </w:tc>
      </w:tr>
      <w:tr w:rsidR="003412AC" w:rsidRPr="0010226A" w14:paraId="4CAB43DC" w14:textId="77777777" w:rsidTr="007563A5">
        <w:trPr>
          <w:trHeight w:val="315"/>
          <w:jc w:val="center"/>
        </w:trPr>
        <w:tc>
          <w:tcPr>
            <w:tcW w:w="2570" w:type="dxa"/>
            <w:tcBorders>
              <w:top w:val="nil"/>
              <w:left w:val="nil"/>
              <w:bottom w:val="nil"/>
              <w:right w:val="nil"/>
            </w:tcBorders>
            <w:noWrap/>
            <w:vAlign w:val="bottom"/>
          </w:tcPr>
          <w:p w14:paraId="52FD96D0" w14:textId="77777777" w:rsidR="003412AC" w:rsidRPr="0010226A" w:rsidRDefault="003412AC" w:rsidP="007563A5">
            <w:pPr>
              <w:ind w:left="214"/>
              <w:rPr>
                <w:rFonts w:eastAsia="Arial Unicode MS"/>
                <w:sz w:val="22"/>
              </w:rPr>
            </w:pPr>
            <w:r w:rsidRPr="0010226A">
              <w:rPr>
                <w:sz w:val="22"/>
              </w:rPr>
              <w:t>Leasehold Improvements</w:t>
            </w:r>
          </w:p>
        </w:tc>
        <w:tc>
          <w:tcPr>
            <w:tcW w:w="1987" w:type="dxa"/>
            <w:tcBorders>
              <w:top w:val="nil"/>
              <w:left w:val="nil"/>
              <w:bottom w:val="nil"/>
              <w:right w:val="nil"/>
            </w:tcBorders>
            <w:noWrap/>
            <w:vAlign w:val="bottom"/>
          </w:tcPr>
          <w:p w14:paraId="658F7C95" w14:textId="77777777" w:rsidR="003412AC" w:rsidRPr="0010226A" w:rsidRDefault="003412AC" w:rsidP="007563A5">
            <w:pPr>
              <w:jc w:val="center"/>
              <w:rPr>
                <w:rFonts w:eastAsia="Arial Unicode MS"/>
                <w:sz w:val="22"/>
              </w:rPr>
            </w:pPr>
            <w:r w:rsidRPr="0010226A">
              <w:rPr>
                <w:rFonts w:eastAsia="Arial Unicode MS"/>
                <w:sz w:val="22"/>
              </w:rPr>
              <w:t>9</w:t>
            </w:r>
          </w:p>
        </w:tc>
      </w:tr>
      <w:tr w:rsidR="003412AC" w:rsidRPr="0010226A" w14:paraId="35907836" w14:textId="77777777" w:rsidTr="007563A5">
        <w:trPr>
          <w:trHeight w:val="315"/>
          <w:jc w:val="center"/>
        </w:trPr>
        <w:tc>
          <w:tcPr>
            <w:tcW w:w="2570" w:type="dxa"/>
            <w:tcBorders>
              <w:top w:val="nil"/>
              <w:left w:val="nil"/>
              <w:bottom w:val="nil"/>
              <w:right w:val="nil"/>
            </w:tcBorders>
            <w:noWrap/>
            <w:vAlign w:val="bottom"/>
          </w:tcPr>
          <w:p w14:paraId="61571FB1" w14:textId="77777777" w:rsidR="003412AC" w:rsidRPr="0010226A" w:rsidRDefault="003412AC" w:rsidP="007563A5">
            <w:pPr>
              <w:ind w:left="214"/>
              <w:rPr>
                <w:rFonts w:eastAsia="Arial Unicode MS"/>
                <w:sz w:val="22"/>
              </w:rPr>
            </w:pPr>
            <w:r w:rsidRPr="0010226A">
              <w:rPr>
                <w:sz w:val="22"/>
              </w:rPr>
              <w:t>Office Furniture</w:t>
            </w:r>
          </w:p>
        </w:tc>
        <w:tc>
          <w:tcPr>
            <w:tcW w:w="1987" w:type="dxa"/>
            <w:tcBorders>
              <w:top w:val="nil"/>
              <w:left w:val="nil"/>
              <w:bottom w:val="nil"/>
              <w:right w:val="nil"/>
            </w:tcBorders>
            <w:noWrap/>
            <w:vAlign w:val="bottom"/>
          </w:tcPr>
          <w:p w14:paraId="6667C228" w14:textId="77777777" w:rsidR="003412AC" w:rsidRPr="0010226A" w:rsidRDefault="003412AC" w:rsidP="007563A5">
            <w:pPr>
              <w:jc w:val="center"/>
              <w:rPr>
                <w:rFonts w:eastAsia="Arial Unicode MS"/>
                <w:sz w:val="22"/>
              </w:rPr>
            </w:pPr>
            <w:r w:rsidRPr="0010226A">
              <w:rPr>
                <w:rFonts w:eastAsia="Arial Unicode MS"/>
                <w:sz w:val="22"/>
              </w:rPr>
              <w:t>5</w:t>
            </w:r>
          </w:p>
        </w:tc>
      </w:tr>
      <w:tr w:rsidR="003412AC" w:rsidRPr="0010226A" w14:paraId="7C3045DA" w14:textId="77777777" w:rsidTr="007563A5">
        <w:trPr>
          <w:trHeight w:val="315"/>
          <w:jc w:val="center"/>
        </w:trPr>
        <w:tc>
          <w:tcPr>
            <w:tcW w:w="2570" w:type="dxa"/>
            <w:tcBorders>
              <w:top w:val="nil"/>
              <w:left w:val="nil"/>
              <w:bottom w:val="nil"/>
              <w:right w:val="nil"/>
            </w:tcBorders>
            <w:noWrap/>
            <w:vAlign w:val="bottom"/>
          </w:tcPr>
          <w:p w14:paraId="026076E1" w14:textId="77777777" w:rsidR="003412AC" w:rsidRPr="0010226A" w:rsidRDefault="003412AC" w:rsidP="007563A5">
            <w:pPr>
              <w:ind w:left="214"/>
              <w:rPr>
                <w:rFonts w:eastAsia="Arial Unicode MS"/>
                <w:sz w:val="22"/>
              </w:rPr>
            </w:pPr>
            <w:r w:rsidRPr="0010226A">
              <w:rPr>
                <w:sz w:val="22"/>
              </w:rPr>
              <w:t>Computer Equipment</w:t>
            </w:r>
          </w:p>
        </w:tc>
        <w:tc>
          <w:tcPr>
            <w:tcW w:w="1987" w:type="dxa"/>
            <w:tcBorders>
              <w:top w:val="nil"/>
              <w:left w:val="nil"/>
              <w:bottom w:val="nil"/>
              <w:right w:val="nil"/>
            </w:tcBorders>
            <w:noWrap/>
            <w:vAlign w:val="bottom"/>
          </w:tcPr>
          <w:p w14:paraId="49BD3F40" w14:textId="77777777" w:rsidR="003412AC" w:rsidRPr="0010226A" w:rsidRDefault="003412AC" w:rsidP="007563A5">
            <w:pPr>
              <w:jc w:val="center"/>
              <w:rPr>
                <w:rFonts w:eastAsia="Arial Unicode MS"/>
                <w:sz w:val="22"/>
              </w:rPr>
            </w:pPr>
            <w:r w:rsidRPr="0010226A">
              <w:rPr>
                <w:rFonts w:eastAsia="Arial Unicode MS"/>
                <w:sz w:val="22"/>
              </w:rPr>
              <w:t>3</w:t>
            </w:r>
          </w:p>
        </w:tc>
      </w:tr>
      <w:tr w:rsidR="003412AC" w:rsidRPr="0010226A" w14:paraId="33962DD4" w14:textId="77777777" w:rsidTr="007563A5">
        <w:trPr>
          <w:trHeight w:val="315"/>
          <w:jc w:val="center"/>
        </w:trPr>
        <w:tc>
          <w:tcPr>
            <w:tcW w:w="2570" w:type="dxa"/>
            <w:tcBorders>
              <w:top w:val="nil"/>
              <w:left w:val="nil"/>
              <w:bottom w:val="nil"/>
              <w:right w:val="nil"/>
            </w:tcBorders>
            <w:noWrap/>
            <w:vAlign w:val="bottom"/>
          </w:tcPr>
          <w:p w14:paraId="62F4B79A" w14:textId="77777777" w:rsidR="003412AC" w:rsidRPr="0010226A" w:rsidRDefault="003412AC" w:rsidP="007563A5">
            <w:pPr>
              <w:ind w:left="214"/>
              <w:rPr>
                <w:rFonts w:eastAsia="Arial Unicode MS"/>
                <w:sz w:val="22"/>
              </w:rPr>
            </w:pPr>
            <w:r w:rsidRPr="0010226A">
              <w:rPr>
                <w:sz w:val="22"/>
              </w:rPr>
              <w:t>Office Equipment</w:t>
            </w:r>
          </w:p>
        </w:tc>
        <w:tc>
          <w:tcPr>
            <w:tcW w:w="1987" w:type="dxa"/>
            <w:tcBorders>
              <w:top w:val="nil"/>
              <w:left w:val="nil"/>
              <w:bottom w:val="nil"/>
              <w:right w:val="nil"/>
            </w:tcBorders>
            <w:noWrap/>
            <w:vAlign w:val="bottom"/>
          </w:tcPr>
          <w:p w14:paraId="61346F14" w14:textId="77777777" w:rsidR="003412AC" w:rsidRPr="0010226A" w:rsidRDefault="003412AC" w:rsidP="007563A5">
            <w:pPr>
              <w:jc w:val="center"/>
              <w:rPr>
                <w:rFonts w:eastAsia="Arial Unicode MS"/>
                <w:sz w:val="22"/>
              </w:rPr>
            </w:pPr>
            <w:r w:rsidRPr="0010226A">
              <w:rPr>
                <w:rFonts w:eastAsia="Arial Unicode MS"/>
                <w:sz w:val="22"/>
              </w:rPr>
              <w:t>5</w:t>
            </w:r>
          </w:p>
        </w:tc>
      </w:tr>
      <w:tr w:rsidR="003412AC" w:rsidRPr="0010226A" w14:paraId="14AD64CB" w14:textId="77777777" w:rsidTr="007563A5">
        <w:trPr>
          <w:trHeight w:val="315"/>
          <w:jc w:val="center"/>
        </w:trPr>
        <w:tc>
          <w:tcPr>
            <w:tcW w:w="2570" w:type="dxa"/>
            <w:tcBorders>
              <w:top w:val="nil"/>
              <w:left w:val="nil"/>
              <w:bottom w:val="nil"/>
              <w:right w:val="nil"/>
            </w:tcBorders>
            <w:noWrap/>
            <w:vAlign w:val="bottom"/>
          </w:tcPr>
          <w:p w14:paraId="2368F682" w14:textId="77777777" w:rsidR="003412AC" w:rsidRPr="0010226A" w:rsidRDefault="003412AC" w:rsidP="007563A5">
            <w:pPr>
              <w:ind w:left="214"/>
              <w:rPr>
                <w:sz w:val="22"/>
              </w:rPr>
            </w:pPr>
            <w:r w:rsidRPr="0010226A">
              <w:rPr>
                <w:sz w:val="22"/>
              </w:rPr>
              <w:t>Software</w:t>
            </w:r>
          </w:p>
        </w:tc>
        <w:tc>
          <w:tcPr>
            <w:tcW w:w="1987" w:type="dxa"/>
            <w:tcBorders>
              <w:top w:val="nil"/>
              <w:left w:val="nil"/>
              <w:bottom w:val="nil"/>
              <w:right w:val="nil"/>
            </w:tcBorders>
            <w:noWrap/>
            <w:vAlign w:val="bottom"/>
          </w:tcPr>
          <w:p w14:paraId="0CC5A090" w14:textId="77777777" w:rsidR="003412AC" w:rsidRPr="0010226A" w:rsidRDefault="003412AC" w:rsidP="007563A5">
            <w:pPr>
              <w:jc w:val="center"/>
              <w:rPr>
                <w:sz w:val="22"/>
              </w:rPr>
            </w:pPr>
            <w:r w:rsidRPr="0010226A">
              <w:rPr>
                <w:sz w:val="22"/>
              </w:rPr>
              <w:t>5</w:t>
            </w:r>
          </w:p>
        </w:tc>
      </w:tr>
    </w:tbl>
    <w:p w14:paraId="5B00873A" w14:textId="77777777" w:rsidR="003412AC" w:rsidRPr="0010226A" w:rsidRDefault="003412AC" w:rsidP="003412AC">
      <w:pPr>
        <w:jc w:val="both"/>
        <w:rPr>
          <w:b/>
          <w:bCs/>
          <w:iCs/>
          <w:sz w:val="22"/>
        </w:rPr>
      </w:pPr>
    </w:p>
    <w:p w14:paraId="3E50A0D9" w14:textId="77777777" w:rsidR="003412AC" w:rsidRPr="0010226A" w:rsidRDefault="003412AC" w:rsidP="00B62682">
      <w:pPr>
        <w:pStyle w:val="Heading4"/>
      </w:pPr>
      <w:r w:rsidRPr="0010226A">
        <w:t>G.  Advances and Prepaid Charges</w:t>
      </w:r>
    </w:p>
    <w:p w14:paraId="36378A70" w14:textId="77777777" w:rsidR="003412AC" w:rsidRPr="0010226A" w:rsidRDefault="003412AC" w:rsidP="003412AC">
      <w:pPr>
        <w:spacing w:after="240"/>
        <w:jc w:val="both"/>
        <w:rPr>
          <w:sz w:val="22"/>
        </w:rPr>
      </w:pPr>
      <w:r w:rsidRPr="0010226A">
        <w:rPr>
          <w:sz w:val="22"/>
        </w:rPr>
        <w:t>Advance payments are generally prohibited by law.  There are some exceptions, such as reimbursable agreements, subscriptions and payments to contractors and employees.  Payments made in advance of the receipt of goods and services are recorded as advances or prepaid charges at the time of prepayment and recognized as expenses when the related goods and services are received.</w:t>
      </w:r>
    </w:p>
    <w:p w14:paraId="0BC6A9DB" w14:textId="77777777" w:rsidR="003412AC" w:rsidRPr="0010226A" w:rsidRDefault="003412AC" w:rsidP="00B62682">
      <w:pPr>
        <w:pStyle w:val="Heading4"/>
      </w:pPr>
      <w:r w:rsidRPr="0010226A">
        <w:t>H.  Liabilities</w:t>
      </w:r>
    </w:p>
    <w:p w14:paraId="5F6EEEC1" w14:textId="77777777" w:rsidR="003412AC" w:rsidRPr="0010226A" w:rsidRDefault="003412AC" w:rsidP="003412AC">
      <w:pPr>
        <w:spacing w:after="240"/>
        <w:jc w:val="both"/>
        <w:rPr>
          <w:sz w:val="22"/>
          <w:szCs w:val="22"/>
        </w:rPr>
      </w:pPr>
      <w:r w:rsidRPr="0010226A">
        <w:rPr>
          <w:sz w:val="22"/>
          <w:szCs w:val="22"/>
        </w:rPr>
        <w:t xml:space="preserve">Liabilities represent the amount of funds likely to be paid by Access Board </w:t>
      </w:r>
      <w:proofErr w:type="gramStart"/>
      <w:r w:rsidRPr="0010226A">
        <w:rPr>
          <w:sz w:val="22"/>
          <w:szCs w:val="22"/>
        </w:rPr>
        <w:t>as a result of</w:t>
      </w:r>
      <w:proofErr w:type="gramEnd"/>
      <w:r w:rsidRPr="0010226A">
        <w:rPr>
          <w:sz w:val="22"/>
          <w:szCs w:val="22"/>
        </w:rPr>
        <w:t xml:space="preserve"> transactions or events that have already occurred.</w:t>
      </w:r>
    </w:p>
    <w:p w14:paraId="3DCA44CB" w14:textId="77777777" w:rsidR="003412AC" w:rsidRPr="0010226A" w:rsidRDefault="003412AC" w:rsidP="003412AC">
      <w:pPr>
        <w:spacing w:after="240"/>
        <w:jc w:val="both"/>
        <w:rPr>
          <w:sz w:val="22"/>
          <w:szCs w:val="22"/>
        </w:rPr>
      </w:pPr>
      <w:r w:rsidRPr="0010226A">
        <w:rPr>
          <w:sz w:val="22"/>
        </w:rPr>
        <w:lastRenderedPageBreak/>
        <w:t>Access Board</w:t>
      </w:r>
      <w:r w:rsidRPr="0010226A">
        <w:rPr>
          <w:sz w:val="22"/>
          <w:szCs w:val="22"/>
        </w:rPr>
        <w:t xml:space="preserve"> reports its liabilities under two categories, Intragovernmental and With the Public.  Intragovernmental liabilities represent funds owed to another government agency.  Liabilities with the Public represent funds owed to any entity or person that is not a federal agency, including private sector firms and federal employees.  Each of these categories may include liabilities that are covered by budgetary resources and liabilities not covered by budgetary resources.</w:t>
      </w:r>
    </w:p>
    <w:p w14:paraId="13BE020E" w14:textId="77777777" w:rsidR="003412AC" w:rsidRPr="0010226A" w:rsidRDefault="003412AC" w:rsidP="003412AC">
      <w:pPr>
        <w:spacing w:after="240"/>
        <w:jc w:val="both"/>
        <w:rPr>
          <w:sz w:val="22"/>
          <w:szCs w:val="22"/>
        </w:rPr>
      </w:pPr>
      <w:r w:rsidRPr="0010226A">
        <w:rPr>
          <w:sz w:val="22"/>
          <w:szCs w:val="22"/>
        </w:rPr>
        <w:t>Liabilities covered by budgetary resources are liabilities funded by a current appropriation or other funding source.  These consist of accounts payable and accrued payroll and benefits.  Accounts payable represent amounts owed to another entity for goods ordered and received and for services rendered except for employees.  Accrued payroll and benefits represent payroll costs earned by employees during the fiscal year which are not paid until the next fiscal year.</w:t>
      </w:r>
    </w:p>
    <w:p w14:paraId="7B61928C" w14:textId="77777777" w:rsidR="003412AC" w:rsidRPr="0010226A" w:rsidRDefault="003412AC" w:rsidP="003412AC">
      <w:pPr>
        <w:spacing w:after="240"/>
        <w:jc w:val="both"/>
        <w:rPr>
          <w:sz w:val="22"/>
          <w:szCs w:val="22"/>
        </w:rPr>
      </w:pPr>
      <w:r w:rsidRPr="0010226A">
        <w:rPr>
          <w:sz w:val="22"/>
          <w:szCs w:val="22"/>
        </w:rPr>
        <w:t xml:space="preserve">Liabilities not covered by budgetary resources are liabilities that are not funded by any current appropriation or other funding source.  These liabilities consist of accrued annual leave, actuarial FECA, and the amounts due to Treasury for collection and accounts receivable of civil penalties and FOIA request fees.    </w:t>
      </w:r>
    </w:p>
    <w:p w14:paraId="693FFF4A" w14:textId="77777777" w:rsidR="003412AC" w:rsidRPr="0010226A" w:rsidRDefault="003412AC" w:rsidP="00B62682">
      <w:pPr>
        <w:pStyle w:val="Heading4"/>
      </w:pPr>
      <w:r w:rsidRPr="0010226A">
        <w:t>I.  Annual, Sick, and Other Leave</w:t>
      </w:r>
    </w:p>
    <w:p w14:paraId="5731B297" w14:textId="77777777" w:rsidR="003412AC" w:rsidRPr="0010226A" w:rsidRDefault="003412AC" w:rsidP="003412AC">
      <w:pPr>
        <w:spacing w:after="240"/>
        <w:jc w:val="both"/>
        <w:rPr>
          <w:sz w:val="22"/>
        </w:rPr>
      </w:pPr>
      <w:r w:rsidRPr="0010226A">
        <w:rPr>
          <w:sz w:val="22"/>
        </w:rPr>
        <w:t>Annual leave is accrued as it is earned, and the accrual is reduced as leave is taken.  The balance in the accrued leave account is adjusted to reflect current pay rates.  Liabilities associated with other types of vested leave, including compensatory, restored leave, and sick leave in certain circumstances, are accrued at year-end, based on latest pay rates and unused hours of leave.  Funding will be obtained from future financing sources to the extent that current or prior year appropriations are not available to fund annual and other types of vested leave earned but not taken.  Nonvested leave is expensed when used.  Any liability for sick leave that is accrued but not taken by a Civil Service Retirement System (CSRS)-covered employee is transferred to the Office of Personnel Management (OPM) upon the retirement of that individual.  Credit is given for sick leave balances in the computation of annuities upon the retirement of Federal Employees Retirement System (FERS)-covered employees.</w:t>
      </w:r>
    </w:p>
    <w:p w14:paraId="289D3C99" w14:textId="77777777" w:rsidR="003412AC" w:rsidRPr="0010226A" w:rsidRDefault="003412AC" w:rsidP="00B62682">
      <w:pPr>
        <w:pStyle w:val="Heading4"/>
      </w:pPr>
      <w:r w:rsidRPr="0010226A">
        <w:t>J.  Accrued and Actuarial Workers’ Compensation</w:t>
      </w:r>
    </w:p>
    <w:p w14:paraId="332A8915" w14:textId="77777777" w:rsidR="003412AC" w:rsidRPr="0010226A" w:rsidRDefault="003412AC" w:rsidP="003412AC">
      <w:pPr>
        <w:spacing w:after="240"/>
        <w:jc w:val="both"/>
        <w:rPr>
          <w:sz w:val="22"/>
        </w:rPr>
      </w:pPr>
      <w:r w:rsidRPr="0010226A">
        <w:rPr>
          <w:sz w:val="22"/>
        </w:rPr>
        <w:t>The Federal Employees' Compensation Act (FECA) administered by the U.S. Department of Labor (DOL) addresses all claims brought by the Access Board employees for on-the-job injuries.  The DOL bills each agency annually as its claims are paid, but payment of these bills is deferred for two years to allow for funding through the budget process.  Similarly, employees that Access Board terminates without cause may receive unemployment compensation benefits under the unemployment insurance program also administered by the DOL, which bills each agency quarterly for paid claims</w:t>
      </w:r>
      <w:proofErr w:type="gramStart"/>
      <w:r w:rsidRPr="0010226A">
        <w:rPr>
          <w:sz w:val="22"/>
        </w:rPr>
        <w:t xml:space="preserve">. </w:t>
      </w:r>
      <w:proofErr w:type="gramEnd"/>
      <w:r w:rsidRPr="0010226A">
        <w:rPr>
          <w:sz w:val="22"/>
        </w:rPr>
        <w:t>Future appropriations will be used for the reimbursement to DOL.  The liability consists of (1) the net present value of estimated future payments calculated by the DOL and (2) the unreimbursed cost paid by DOL for compensation to recipients under the FECA.</w:t>
      </w:r>
    </w:p>
    <w:p w14:paraId="01D9B9C2" w14:textId="77777777" w:rsidR="003412AC" w:rsidRPr="0010226A" w:rsidRDefault="003412AC" w:rsidP="00B62682">
      <w:pPr>
        <w:pStyle w:val="Heading4"/>
      </w:pPr>
      <w:r w:rsidRPr="0010226A">
        <w:t>K.  Retirement Plans</w:t>
      </w:r>
    </w:p>
    <w:p w14:paraId="18B7F3C3" w14:textId="77777777" w:rsidR="003412AC" w:rsidRPr="0010226A" w:rsidRDefault="003412AC" w:rsidP="003412AC">
      <w:pPr>
        <w:spacing w:after="240"/>
        <w:jc w:val="both"/>
        <w:rPr>
          <w:sz w:val="22"/>
        </w:rPr>
      </w:pPr>
      <w:r w:rsidRPr="0010226A">
        <w:rPr>
          <w:sz w:val="22"/>
        </w:rPr>
        <w:t>Access Board employees participate in either the CSRS or the FERS.  The employees who participate in CSRS are beneficiaries of Access Board matching contribution, equal to seven percent of pay, distributed to their annuity account in the Civil Service Retirement and Disability Fund.</w:t>
      </w:r>
    </w:p>
    <w:p w14:paraId="640F40BA" w14:textId="77777777" w:rsidR="003412AC" w:rsidRPr="0010226A" w:rsidRDefault="003412AC" w:rsidP="003412AC">
      <w:pPr>
        <w:spacing w:after="240"/>
        <w:jc w:val="both"/>
        <w:rPr>
          <w:sz w:val="22"/>
        </w:rPr>
      </w:pPr>
      <w:r w:rsidRPr="0010226A">
        <w:rPr>
          <w:sz w:val="22"/>
        </w:rPr>
        <w:t xml:space="preserve">Prior to December 31, 1983, all employees were covered under the CSRS program.  From January 1, 1984 through December 31, 1986, employees had the option of remaining under CSRS or joining FERS and Social Security.  Employees hired as of January 1, 1987 are automatically covered by the FERS program.  Both CSRS and FERS employees may participate in the federal Thrift Savings Plan (TSP).  FERS employees receive an automatic agency contribution equal to one percent of pay and Access Board matches </w:t>
      </w:r>
      <w:r w:rsidRPr="0010226A">
        <w:rPr>
          <w:sz w:val="22"/>
        </w:rPr>
        <w:lastRenderedPageBreak/>
        <w:t>any employee contribution up to an additional four percent of pay.  For FERS participants, Access Board also contributes the employer’s matching share of Social Security.</w:t>
      </w:r>
    </w:p>
    <w:p w14:paraId="38331BF4" w14:textId="77777777" w:rsidR="003412AC" w:rsidRPr="0010226A" w:rsidRDefault="003412AC" w:rsidP="003412AC">
      <w:pPr>
        <w:spacing w:after="240"/>
        <w:jc w:val="both"/>
        <w:rPr>
          <w:sz w:val="22"/>
        </w:rPr>
      </w:pPr>
      <w:r w:rsidRPr="0010226A">
        <w:rPr>
          <w:sz w:val="22"/>
        </w:rPr>
        <w:t>FERS employees and certain CSRS reinstatement employees are eligible to participate in the Social Security program after retirement.  In these instances, Access Board remits the employer’s share of the required contribution.</w:t>
      </w:r>
    </w:p>
    <w:p w14:paraId="1BC42733" w14:textId="77777777" w:rsidR="003412AC" w:rsidRPr="0010226A" w:rsidRDefault="003412AC" w:rsidP="003412AC">
      <w:pPr>
        <w:spacing w:after="240"/>
        <w:jc w:val="both"/>
        <w:rPr>
          <w:sz w:val="22"/>
        </w:rPr>
      </w:pPr>
      <w:r w:rsidRPr="0010226A">
        <w:rPr>
          <w:sz w:val="22"/>
        </w:rPr>
        <w:t>Access Board recognizes the imputed cost of pension and other retirement benefits during the employees’ active years of service.  OPM actuaries determine pension cost factors by calculating the value of pension benefits expected to be paid in the future and communicate these factors to Access Board for current period expense reporting.  OPM also provides information regarding the full cost of health and life insurance benefits.  Access Board recognized the offsetting revenue as imputed financing sources to the extent these expenses will be paid by OPM.</w:t>
      </w:r>
    </w:p>
    <w:p w14:paraId="4F2094E9" w14:textId="77777777" w:rsidR="003412AC" w:rsidRPr="0010226A" w:rsidRDefault="003412AC" w:rsidP="003412AC">
      <w:pPr>
        <w:spacing w:after="240"/>
        <w:jc w:val="both"/>
        <w:rPr>
          <w:sz w:val="22"/>
        </w:rPr>
      </w:pPr>
      <w:r w:rsidRPr="0010226A">
        <w:rPr>
          <w:sz w:val="22"/>
        </w:rPr>
        <w:t xml:space="preserve">Access Board does not report on its financial </w:t>
      </w:r>
      <w:proofErr w:type="gramStart"/>
      <w:r w:rsidRPr="0010226A">
        <w:rPr>
          <w:sz w:val="22"/>
        </w:rPr>
        <w:t>statements</w:t>
      </w:r>
      <w:proofErr w:type="gramEnd"/>
      <w:r w:rsidRPr="0010226A">
        <w:rPr>
          <w:sz w:val="22"/>
        </w:rPr>
        <w:t xml:space="preserve"> information pertaining to the retirement plans covering its employees.  Reporting amounts such as plan assets, accumulated plan benefits, and related unfunded liabilities, if any, is the responsibility of the OPM, as the administrator.</w:t>
      </w:r>
    </w:p>
    <w:p w14:paraId="2FFD9021" w14:textId="77777777" w:rsidR="003412AC" w:rsidRPr="0010226A" w:rsidRDefault="003412AC" w:rsidP="00B62682">
      <w:pPr>
        <w:pStyle w:val="Heading4"/>
      </w:pPr>
      <w:r w:rsidRPr="0010226A">
        <w:t>L.  Other Post-Employment Benefits</w:t>
      </w:r>
    </w:p>
    <w:p w14:paraId="2D8F0187" w14:textId="77777777" w:rsidR="003412AC" w:rsidRPr="0010226A" w:rsidRDefault="003412AC" w:rsidP="00B62682">
      <w:r w:rsidRPr="0010226A">
        <w:t xml:space="preserve">Access Board employees eligible to participate in the Federal Employees' Health Benefits Plan (FEHBP) and the Federal Employees' Group Life Insurance Program (FEGLIP) may continue to participate in these programs after their retirement.  The OPM has provided the Access Board with certain cost factors that estimate the true cost of providing the post-retirement benefit to current employees.  Access Board recognizes a current cost for these and Other Retirement Benefits (ORB) at the time the employee's services are rendered.  The ORB expense is financed by </w:t>
      </w:r>
      <w:proofErr w:type="gramStart"/>
      <w:r w:rsidRPr="0010226A">
        <w:t>OPM, and</w:t>
      </w:r>
      <w:proofErr w:type="gramEnd"/>
      <w:r w:rsidRPr="0010226A">
        <w:t xml:space="preserve"> offset by the Access Board through the recognition of an imputed financing source.</w:t>
      </w:r>
    </w:p>
    <w:p w14:paraId="623A7314" w14:textId="77777777" w:rsidR="003412AC" w:rsidRPr="0010226A" w:rsidRDefault="003412AC" w:rsidP="00B62682">
      <w:pPr>
        <w:pStyle w:val="Heading4"/>
      </w:pPr>
      <w:r w:rsidRPr="0010226A">
        <w:t>M.  Use of Estimates</w:t>
      </w:r>
    </w:p>
    <w:p w14:paraId="775DBAB3" w14:textId="77777777" w:rsidR="003412AC" w:rsidRPr="0010226A" w:rsidRDefault="003412AC" w:rsidP="003412AC">
      <w:pPr>
        <w:spacing w:after="240"/>
        <w:jc w:val="both"/>
        <w:rPr>
          <w:sz w:val="22"/>
        </w:rPr>
      </w:pPr>
      <w:r w:rsidRPr="0010226A">
        <w:rPr>
          <w:sz w:val="22"/>
        </w:rPr>
        <w:t xml:space="preserve">The preparation of the accompanying financial statements in accordance with generally accepted accounting principles requires management to make certain estimates and assumptions that affect the reported amounts of assets, liabilities, revenues, and expenses.  Actual results could differ from those estimates.  </w:t>
      </w:r>
    </w:p>
    <w:p w14:paraId="61D06F91" w14:textId="77777777" w:rsidR="003412AC" w:rsidRPr="0010226A" w:rsidRDefault="003412AC" w:rsidP="00B62682">
      <w:pPr>
        <w:pStyle w:val="Heading4"/>
      </w:pPr>
      <w:r w:rsidRPr="0010226A">
        <w:t>N.  Reclassification</w:t>
      </w:r>
    </w:p>
    <w:p w14:paraId="14550856" w14:textId="77777777" w:rsidR="003412AC" w:rsidRPr="0010226A" w:rsidRDefault="003412AC" w:rsidP="003412AC">
      <w:pPr>
        <w:spacing w:after="240"/>
        <w:jc w:val="both"/>
        <w:rPr>
          <w:b/>
          <w:bCs/>
          <w:sz w:val="22"/>
        </w:rPr>
      </w:pPr>
      <w:r w:rsidRPr="0010226A">
        <w:rPr>
          <w:sz w:val="22"/>
        </w:rPr>
        <w:t xml:space="preserve">Certain fiscal year 2018 balances have been reclassified, retitled, or combined with other financial statement line items for consistency with the current year presentation.  </w:t>
      </w:r>
    </w:p>
    <w:p w14:paraId="1D2D8BFC" w14:textId="77777777" w:rsidR="003412AC" w:rsidRPr="0010226A" w:rsidRDefault="003412AC" w:rsidP="00B62682">
      <w:pPr>
        <w:pStyle w:val="Heading3"/>
        <w:rPr>
          <w:i/>
          <w:iCs/>
        </w:rPr>
      </w:pPr>
      <w:r w:rsidRPr="0010226A">
        <w:t>NOTE 2.  FUND BALANCE WITH TREASURY</w:t>
      </w:r>
    </w:p>
    <w:p w14:paraId="775FF39F" w14:textId="77777777" w:rsidR="003412AC" w:rsidRPr="0010226A" w:rsidRDefault="003412AC" w:rsidP="003412AC">
      <w:pPr>
        <w:jc w:val="both"/>
        <w:rPr>
          <w:sz w:val="22"/>
        </w:rPr>
      </w:pPr>
      <w:r w:rsidRPr="0010226A">
        <w:rPr>
          <w:sz w:val="22"/>
        </w:rPr>
        <w:t>Fund balance with Treasury account balances as of September 30, 2019 and 2018, were as follows:</w:t>
      </w:r>
    </w:p>
    <w:p w14:paraId="371219FE" w14:textId="77777777" w:rsidR="003412AC" w:rsidRPr="0010226A" w:rsidRDefault="003412AC" w:rsidP="003412AC">
      <w:pPr>
        <w:jc w:val="both"/>
        <w:rPr>
          <w:sz w:val="22"/>
        </w:rPr>
      </w:pPr>
      <w:r w:rsidRPr="0010226A">
        <w:rPr>
          <w:noProof/>
          <w:sz w:val="22"/>
        </w:rPr>
        <w:lastRenderedPageBreak/>
        <w:drawing>
          <wp:inline distT="0" distB="0" distL="0" distR="0" wp14:anchorId="173C20EE" wp14:editId="78C80474">
            <wp:extent cx="5486400" cy="16865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686560"/>
                    </a:xfrm>
                    <a:prstGeom prst="rect">
                      <a:avLst/>
                    </a:prstGeom>
                    <a:noFill/>
                    <a:ln>
                      <a:noFill/>
                    </a:ln>
                  </pic:spPr>
                </pic:pic>
              </a:graphicData>
            </a:graphic>
          </wp:inline>
        </w:drawing>
      </w:r>
    </w:p>
    <w:p w14:paraId="4C7BE93C" w14:textId="77777777" w:rsidR="003412AC" w:rsidRPr="0010226A" w:rsidRDefault="003412AC" w:rsidP="003412AC">
      <w:pPr>
        <w:spacing w:after="240"/>
        <w:jc w:val="both"/>
        <w:rPr>
          <w:noProof/>
          <w:sz w:val="22"/>
        </w:rPr>
      </w:pPr>
      <w:r w:rsidRPr="0010226A">
        <w:rPr>
          <w:sz w:val="22"/>
        </w:rPr>
        <w:t>No discrepancies exist between the Fund Balance reflected on the Balance Sheet and the balances in the Treasury accounts.</w:t>
      </w:r>
    </w:p>
    <w:p w14:paraId="48AF72F8" w14:textId="77777777" w:rsidR="003412AC" w:rsidRPr="0010226A" w:rsidRDefault="003412AC" w:rsidP="003412AC">
      <w:pPr>
        <w:spacing w:after="240"/>
        <w:jc w:val="both"/>
        <w:rPr>
          <w:sz w:val="22"/>
        </w:rPr>
      </w:pPr>
      <w:r w:rsidRPr="0010226A">
        <w:rPr>
          <w:sz w:val="22"/>
        </w:rPr>
        <w:t xml:space="preserve">The available unobligated fund balances represent the </w:t>
      </w:r>
      <w:proofErr w:type="gramStart"/>
      <w:r w:rsidRPr="0010226A">
        <w:rPr>
          <w:sz w:val="22"/>
        </w:rPr>
        <w:t>current-period</w:t>
      </w:r>
      <w:proofErr w:type="gramEnd"/>
      <w:r w:rsidRPr="0010226A">
        <w:rPr>
          <w:sz w:val="22"/>
        </w:rPr>
        <w:t xml:space="preserve"> amount available for obligation or commitment.  At the start of the next fiscal year, this amount will become part of the unavailable balance as described in the following paragraph.</w:t>
      </w:r>
    </w:p>
    <w:p w14:paraId="0DDA7B93" w14:textId="77777777" w:rsidR="003412AC" w:rsidRPr="0010226A" w:rsidRDefault="003412AC" w:rsidP="003412AC">
      <w:pPr>
        <w:spacing w:after="240"/>
        <w:jc w:val="both"/>
        <w:rPr>
          <w:sz w:val="22"/>
          <w:szCs w:val="22"/>
        </w:rPr>
      </w:pPr>
      <w:r w:rsidRPr="0010226A">
        <w:rPr>
          <w:sz w:val="22"/>
          <w:szCs w:val="22"/>
        </w:rPr>
        <w:t>The unavailable unobligated fund balances represent the amount of appropriations for which the period of availability for obligation has expired.  These balances are available for upward adjustments of obligations incurred only during the period for which the appropriation was available for obligation or for paying claims attributable to the appropriations.</w:t>
      </w:r>
    </w:p>
    <w:p w14:paraId="11C363F6" w14:textId="77777777" w:rsidR="003412AC" w:rsidRPr="0010226A" w:rsidRDefault="003412AC" w:rsidP="003412AC">
      <w:pPr>
        <w:spacing w:after="240"/>
        <w:jc w:val="both"/>
        <w:rPr>
          <w:sz w:val="22"/>
          <w:szCs w:val="22"/>
        </w:rPr>
      </w:pPr>
      <w:r w:rsidRPr="0010226A">
        <w:rPr>
          <w:sz w:val="22"/>
          <w:szCs w:val="22"/>
        </w:rPr>
        <w:t>The obligated balance not yet disbursed includes accounts payable, accrued expenses, and undelivered orders that have reduced unexpended appropriations but have not yet decreased the fund balance on hand.</w:t>
      </w:r>
    </w:p>
    <w:p w14:paraId="0FDE98A1" w14:textId="77777777" w:rsidR="003412AC" w:rsidRPr="0010226A" w:rsidRDefault="003412AC" w:rsidP="00B62682">
      <w:pPr>
        <w:pStyle w:val="Heading3"/>
      </w:pPr>
      <w:r w:rsidRPr="0010226A">
        <w:t>NOTE 3.  ACCOUNTS RECEIVABLE</w:t>
      </w:r>
    </w:p>
    <w:p w14:paraId="69921E2B" w14:textId="77777777" w:rsidR="003412AC" w:rsidRPr="00B62682" w:rsidRDefault="003412AC" w:rsidP="00B62682">
      <w:r w:rsidRPr="00B62682">
        <w:t>Accounts receivable balances as of September 30, 2019 and 2018, were as follows:</w:t>
      </w:r>
    </w:p>
    <w:p w14:paraId="259C54FA" w14:textId="77777777" w:rsidR="003412AC" w:rsidRPr="0010226A" w:rsidRDefault="003412AC" w:rsidP="003412AC">
      <w:pPr>
        <w:rPr>
          <w:b/>
          <w:bCs/>
        </w:rPr>
      </w:pPr>
      <w:r w:rsidRPr="0010226A">
        <w:rPr>
          <w:b/>
          <w:bCs/>
          <w:noProof/>
        </w:rPr>
        <w:drawing>
          <wp:inline distT="0" distB="0" distL="0" distR="0" wp14:anchorId="2C5FC69C" wp14:editId="71531ADF">
            <wp:extent cx="5486400" cy="137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371600"/>
                    </a:xfrm>
                    <a:prstGeom prst="rect">
                      <a:avLst/>
                    </a:prstGeom>
                    <a:noFill/>
                    <a:ln>
                      <a:noFill/>
                    </a:ln>
                  </pic:spPr>
                </pic:pic>
              </a:graphicData>
            </a:graphic>
          </wp:inline>
        </w:drawing>
      </w:r>
    </w:p>
    <w:p w14:paraId="116590B3" w14:textId="17133651" w:rsidR="003412AC" w:rsidRPr="0010226A" w:rsidRDefault="003412AC" w:rsidP="003412AC">
      <w:pPr>
        <w:jc w:val="both"/>
        <w:rPr>
          <w:color w:val="000000"/>
          <w:sz w:val="22"/>
          <w:szCs w:val="22"/>
        </w:rPr>
      </w:pPr>
      <w:r w:rsidRPr="0010226A">
        <w:rPr>
          <w:color w:val="000000"/>
          <w:sz w:val="22"/>
          <w:szCs w:val="22"/>
        </w:rPr>
        <w:t xml:space="preserve">The accounts receivable is primarily other receivables with the public.  Historical experience has indicated that </w:t>
      </w:r>
      <w:proofErr w:type="gramStart"/>
      <w:r w:rsidRPr="0010226A">
        <w:rPr>
          <w:color w:val="000000"/>
          <w:sz w:val="22"/>
          <w:szCs w:val="22"/>
        </w:rPr>
        <w:t>the majority of</w:t>
      </w:r>
      <w:proofErr w:type="gramEnd"/>
      <w:r w:rsidRPr="0010226A">
        <w:rPr>
          <w:color w:val="000000"/>
          <w:sz w:val="22"/>
          <w:szCs w:val="22"/>
        </w:rPr>
        <w:t xml:space="preserve"> the receivables are collectible.  There are no material uncollectible accounts as of September 30, 2019 and 2018.</w:t>
      </w:r>
    </w:p>
    <w:p w14:paraId="006CE318" w14:textId="77777777" w:rsidR="003412AC" w:rsidRPr="0010226A" w:rsidRDefault="003412AC" w:rsidP="003412AC">
      <w:pPr>
        <w:jc w:val="both"/>
        <w:rPr>
          <w:sz w:val="22"/>
        </w:rPr>
      </w:pPr>
    </w:p>
    <w:p w14:paraId="6C50CECE" w14:textId="77777777" w:rsidR="003412AC" w:rsidRPr="0010226A" w:rsidRDefault="003412AC" w:rsidP="00B62682">
      <w:pPr>
        <w:pStyle w:val="Heading3"/>
      </w:pPr>
      <w:r w:rsidRPr="0010226A">
        <w:t>NOTE 4.  PROPERTY, EQUIPMENT, AND SOFTWARE</w:t>
      </w:r>
    </w:p>
    <w:p w14:paraId="731AB2CA" w14:textId="77777777" w:rsidR="003412AC" w:rsidRPr="0010226A" w:rsidRDefault="003412AC" w:rsidP="003412AC">
      <w:pPr>
        <w:jc w:val="both"/>
        <w:rPr>
          <w:sz w:val="22"/>
        </w:rPr>
      </w:pPr>
      <w:r w:rsidRPr="0010226A">
        <w:rPr>
          <w:sz w:val="22"/>
        </w:rPr>
        <w:t>Schedule of Property, Equipment, and Software as of September 30, 2019:</w:t>
      </w:r>
    </w:p>
    <w:p w14:paraId="27F677DB" w14:textId="77777777" w:rsidR="00B62682" w:rsidRDefault="003412AC" w:rsidP="003412AC">
      <w:pPr>
        <w:jc w:val="both"/>
        <w:rPr>
          <w:sz w:val="22"/>
        </w:rPr>
      </w:pPr>
      <w:r w:rsidRPr="0010226A">
        <w:rPr>
          <w:noProof/>
          <w:sz w:val="22"/>
        </w:rPr>
        <w:lastRenderedPageBreak/>
        <w:drawing>
          <wp:inline distT="0" distB="0" distL="0" distR="0" wp14:anchorId="1C3AD2CD" wp14:editId="17B5CAA2">
            <wp:extent cx="5419725" cy="1504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1504950"/>
                    </a:xfrm>
                    <a:prstGeom prst="rect">
                      <a:avLst/>
                    </a:prstGeom>
                    <a:noFill/>
                    <a:ln>
                      <a:noFill/>
                    </a:ln>
                  </pic:spPr>
                </pic:pic>
              </a:graphicData>
            </a:graphic>
          </wp:inline>
        </w:drawing>
      </w:r>
    </w:p>
    <w:p w14:paraId="6249E1CC" w14:textId="0F75742C" w:rsidR="003412AC" w:rsidRPr="0010226A" w:rsidRDefault="003412AC" w:rsidP="003412AC">
      <w:pPr>
        <w:jc w:val="both"/>
        <w:rPr>
          <w:sz w:val="22"/>
        </w:rPr>
      </w:pPr>
      <w:r w:rsidRPr="0010226A">
        <w:rPr>
          <w:sz w:val="22"/>
        </w:rPr>
        <w:t>Schedule of Property, Equipment, and Software as of September 30, 2018:</w:t>
      </w:r>
    </w:p>
    <w:p w14:paraId="5C748246" w14:textId="77777777" w:rsidR="00B62682" w:rsidRDefault="003412AC" w:rsidP="003412AC">
      <w:pPr>
        <w:spacing w:after="240"/>
        <w:jc w:val="both"/>
        <w:rPr>
          <w:b/>
          <w:sz w:val="22"/>
        </w:rPr>
      </w:pPr>
      <w:r w:rsidRPr="0010226A">
        <w:rPr>
          <w:noProof/>
          <w:sz w:val="22"/>
        </w:rPr>
        <w:drawing>
          <wp:inline distT="0" distB="0" distL="0" distR="0" wp14:anchorId="342B5942" wp14:editId="7E0BF97D">
            <wp:extent cx="5419725" cy="1857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1857375"/>
                    </a:xfrm>
                    <a:prstGeom prst="rect">
                      <a:avLst/>
                    </a:prstGeom>
                    <a:noFill/>
                    <a:ln>
                      <a:noFill/>
                    </a:ln>
                  </pic:spPr>
                </pic:pic>
              </a:graphicData>
            </a:graphic>
          </wp:inline>
        </w:drawing>
      </w:r>
    </w:p>
    <w:p w14:paraId="47683709" w14:textId="3560C50E" w:rsidR="003412AC" w:rsidRPr="0010226A" w:rsidRDefault="003412AC" w:rsidP="00B62682">
      <w:pPr>
        <w:pStyle w:val="Heading3"/>
      </w:pPr>
      <w:r w:rsidRPr="0010226A">
        <w:t>NOTE 5.  OTHER ASSETS</w:t>
      </w:r>
    </w:p>
    <w:p w14:paraId="04142BA4" w14:textId="77777777" w:rsidR="003412AC" w:rsidRPr="0010226A" w:rsidRDefault="003412AC" w:rsidP="003412AC">
      <w:pPr>
        <w:rPr>
          <w:sz w:val="22"/>
        </w:rPr>
      </w:pPr>
      <w:r w:rsidRPr="0010226A">
        <w:rPr>
          <w:sz w:val="22"/>
        </w:rPr>
        <w:t>Other assets account balances as of September 30, 2019 and 2018, were as follows:</w:t>
      </w:r>
    </w:p>
    <w:p w14:paraId="077C015D" w14:textId="77777777" w:rsidR="00B62682" w:rsidRDefault="003412AC" w:rsidP="003412AC">
      <w:pPr>
        <w:rPr>
          <w:bCs/>
          <w:sz w:val="22"/>
        </w:rPr>
      </w:pPr>
      <w:r w:rsidRPr="0010226A">
        <w:rPr>
          <w:noProof/>
          <w:sz w:val="22"/>
        </w:rPr>
        <w:drawing>
          <wp:inline distT="0" distB="0" distL="0" distR="0" wp14:anchorId="2C6F1950" wp14:editId="3D2AD0EE">
            <wp:extent cx="5467350" cy="1171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1171575"/>
                    </a:xfrm>
                    <a:prstGeom prst="rect">
                      <a:avLst/>
                    </a:prstGeom>
                    <a:noFill/>
                    <a:ln>
                      <a:noFill/>
                    </a:ln>
                  </pic:spPr>
                </pic:pic>
              </a:graphicData>
            </a:graphic>
          </wp:inline>
        </w:drawing>
      </w:r>
    </w:p>
    <w:p w14:paraId="14DADE1D" w14:textId="7CB6AF9C" w:rsidR="003412AC" w:rsidRPr="0010226A" w:rsidRDefault="003412AC" w:rsidP="003412AC">
      <w:pPr>
        <w:rPr>
          <w:bCs/>
          <w:sz w:val="22"/>
        </w:rPr>
      </w:pPr>
      <w:r w:rsidRPr="0010226A">
        <w:rPr>
          <w:bCs/>
          <w:sz w:val="22"/>
        </w:rPr>
        <w:t>Access Board began posting NBC Administrative Office procurement orders as prepayments in 2018.</w:t>
      </w:r>
    </w:p>
    <w:p w14:paraId="2B87C678" w14:textId="77777777" w:rsidR="003412AC" w:rsidRPr="0010226A" w:rsidRDefault="003412AC" w:rsidP="00B62682">
      <w:pPr>
        <w:pStyle w:val="Heading3"/>
      </w:pPr>
      <w:r w:rsidRPr="0010226A">
        <w:t>NOTE 6.  LIABILITIES NOT COVERED BY BUDGETARY RESOURCES</w:t>
      </w:r>
    </w:p>
    <w:p w14:paraId="12D5AB75" w14:textId="77777777" w:rsidR="003412AC" w:rsidRPr="0010226A" w:rsidRDefault="003412AC" w:rsidP="003412AC">
      <w:pPr>
        <w:jc w:val="both"/>
        <w:rPr>
          <w:sz w:val="22"/>
        </w:rPr>
      </w:pPr>
      <w:r w:rsidRPr="0010226A">
        <w:rPr>
          <w:sz w:val="22"/>
        </w:rPr>
        <w:t xml:space="preserve">The liabilities for Access Board as of September 30, 2019 and 2018, include liabilities not covered by budgetary resources.  Congressional action is needed before budgetary resources can be provided.  Although future appropriations to fund these liabilities are likely and anticipated, it is not certain that appropriations will be enacted to fund these liabilities. </w:t>
      </w:r>
    </w:p>
    <w:p w14:paraId="2A1F7462" w14:textId="77777777" w:rsidR="003412AC" w:rsidRDefault="003412AC" w:rsidP="003412AC">
      <w:pPr>
        <w:jc w:val="both"/>
        <w:rPr>
          <w:bCs/>
          <w:sz w:val="22"/>
        </w:rPr>
      </w:pPr>
      <w:r w:rsidRPr="0010226A">
        <w:rPr>
          <w:noProof/>
          <w:sz w:val="22"/>
        </w:rPr>
        <w:drawing>
          <wp:inline distT="0" distB="0" distL="0" distR="0" wp14:anchorId="2E9DFD26" wp14:editId="7E05679A">
            <wp:extent cx="5486400" cy="1209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209675"/>
                    </a:xfrm>
                    <a:prstGeom prst="rect">
                      <a:avLst/>
                    </a:prstGeom>
                    <a:noFill/>
                    <a:ln>
                      <a:noFill/>
                    </a:ln>
                  </pic:spPr>
                </pic:pic>
              </a:graphicData>
            </a:graphic>
          </wp:inline>
        </w:drawing>
      </w:r>
    </w:p>
    <w:p w14:paraId="13C09504" w14:textId="77777777" w:rsidR="003412AC" w:rsidRPr="0010226A" w:rsidRDefault="003412AC" w:rsidP="003412AC">
      <w:pPr>
        <w:spacing w:after="240"/>
        <w:jc w:val="both"/>
        <w:rPr>
          <w:bCs/>
          <w:sz w:val="22"/>
        </w:rPr>
      </w:pPr>
      <w:r w:rsidRPr="0010226A">
        <w:rPr>
          <w:bCs/>
          <w:sz w:val="22"/>
        </w:rPr>
        <w:t xml:space="preserve">The FECA liability represents the unfunded liability for actual workers compensation claims paid on Access Board’s behalf and payable to DOL.  Access Board also records an actuarial liability for future workers </w:t>
      </w:r>
      <w:r w:rsidRPr="0010226A">
        <w:rPr>
          <w:bCs/>
          <w:sz w:val="22"/>
        </w:rPr>
        <w:lastRenderedPageBreak/>
        <w:t>compensation claims based on the liability to benefits paid (LBP) ratio provided by DOL and multiplied by the average of benefits paid over three years.</w:t>
      </w:r>
    </w:p>
    <w:p w14:paraId="5E2183E2" w14:textId="77777777" w:rsidR="003412AC" w:rsidRPr="0010226A" w:rsidRDefault="003412AC" w:rsidP="003412AC">
      <w:pPr>
        <w:spacing w:after="240"/>
        <w:jc w:val="both"/>
        <w:rPr>
          <w:sz w:val="22"/>
        </w:rPr>
      </w:pPr>
      <w:r w:rsidRPr="0010226A">
        <w:rPr>
          <w:sz w:val="22"/>
        </w:rPr>
        <w:t xml:space="preserve">Unfunded leave represents a liability for earned leave and is reduced when leave is taken.  The balance in the accrued annual leave account is reviewed quarterly and adjusted as needed to accurately reflect the liability at current pay rates and leave balances.  Accrued annual leave is paid from future funding sources and, accordingly, is reflected as a liability not covered by budgetary resources.  Sick and other leave is expensed as taken.  </w:t>
      </w:r>
    </w:p>
    <w:p w14:paraId="46CD4F3D" w14:textId="77777777" w:rsidR="003412AC" w:rsidRPr="0010226A" w:rsidRDefault="003412AC" w:rsidP="00B62682">
      <w:pPr>
        <w:pStyle w:val="Heading3"/>
        <w:rPr>
          <w:i/>
          <w:iCs/>
        </w:rPr>
      </w:pPr>
      <w:r w:rsidRPr="0010226A">
        <w:t>NOTE 7.  OTHER LIABILITIES</w:t>
      </w:r>
    </w:p>
    <w:p w14:paraId="4D65C4B4" w14:textId="77777777" w:rsidR="003412AC" w:rsidRPr="0010226A" w:rsidRDefault="003412AC" w:rsidP="003412AC">
      <w:pPr>
        <w:rPr>
          <w:sz w:val="22"/>
        </w:rPr>
      </w:pPr>
      <w:r w:rsidRPr="0010226A">
        <w:rPr>
          <w:sz w:val="22"/>
        </w:rPr>
        <w:t>Other liabilities account balances as of September 30, 2019 were as follows:</w:t>
      </w:r>
    </w:p>
    <w:p w14:paraId="410FEB7D" w14:textId="77777777" w:rsidR="00B62682" w:rsidRDefault="003412AC" w:rsidP="003412AC">
      <w:pPr>
        <w:rPr>
          <w:sz w:val="22"/>
        </w:rPr>
      </w:pPr>
      <w:r w:rsidRPr="0010226A">
        <w:rPr>
          <w:noProof/>
          <w:sz w:val="22"/>
        </w:rPr>
        <w:drawing>
          <wp:inline distT="0" distB="0" distL="0" distR="0" wp14:anchorId="3064861E" wp14:editId="1B79FA74">
            <wp:extent cx="5467350" cy="2457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2457450"/>
                    </a:xfrm>
                    <a:prstGeom prst="rect">
                      <a:avLst/>
                    </a:prstGeom>
                    <a:noFill/>
                    <a:ln>
                      <a:noFill/>
                    </a:ln>
                  </pic:spPr>
                </pic:pic>
              </a:graphicData>
            </a:graphic>
          </wp:inline>
        </w:drawing>
      </w:r>
    </w:p>
    <w:p w14:paraId="54381CA9" w14:textId="1B705F97" w:rsidR="003412AC" w:rsidRPr="0010226A" w:rsidRDefault="003412AC" w:rsidP="003412AC">
      <w:pPr>
        <w:rPr>
          <w:sz w:val="22"/>
        </w:rPr>
      </w:pPr>
      <w:r w:rsidRPr="0010226A">
        <w:rPr>
          <w:sz w:val="22"/>
        </w:rPr>
        <w:t>Other liabilities account balances as of September 30, 2018 were as follows:</w:t>
      </w:r>
    </w:p>
    <w:p w14:paraId="11D815EE" w14:textId="4EA6A433" w:rsidR="003412AC" w:rsidRPr="00B62682" w:rsidRDefault="003412AC" w:rsidP="003412AC">
      <w:pPr>
        <w:rPr>
          <w:sz w:val="22"/>
          <w:highlight w:val="green"/>
        </w:rPr>
      </w:pPr>
      <w:r w:rsidRPr="0010226A">
        <w:rPr>
          <w:noProof/>
          <w:sz w:val="22"/>
        </w:rPr>
        <w:drawing>
          <wp:inline distT="0" distB="0" distL="0" distR="0" wp14:anchorId="3189E78B" wp14:editId="12848A34">
            <wp:extent cx="5467350" cy="2409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350" cy="2409825"/>
                    </a:xfrm>
                    <a:prstGeom prst="rect">
                      <a:avLst/>
                    </a:prstGeom>
                    <a:noFill/>
                    <a:ln>
                      <a:noFill/>
                    </a:ln>
                  </pic:spPr>
                </pic:pic>
              </a:graphicData>
            </a:graphic>
          </wp:inline>
        </w:drawing>
      </w:r>
    </w:p>
    <w:p w14:paraId="29CE11BF" w14:textId="77777777" w:rsidR="003412AC" w:rsidRPr="0010226A" w:rsidRDefault="003412AC" w:rsidP="00B62682">
      <w:pPr>
        <w:pStyle w:val="Heading3"/>
      </w:pPr>
      <w:r w:rsidRPr="0010226A">
        <w:t>NOTE 8.  LEASES</w:t>
      </w:r>
    </w:p>
    <w:p w14:paraId="618B8E66" w14:textId="77777777" w:rsidR="003412AC" w:rsidRPr="0010226A" w:rsidRDefault="003412AC" w:rsidP="003412AC">
      <w:pPr>
        <w:rPr>
          <w:b/>
          <w:bCs/>
          <w:sz w:val="22"/>
          <w:u w:val="single"/>
        </w:rPr>
      </w:pPr>
    </w:p>
    <w:p w14:paraId="41E2B9DE" w14:textId="77777777" w:rsidR="003412AC" w:rsidRPr="0010226A" w:rsidRDefault="003412AC" w:rsidP="00B62682">
      <w:pPr>
        <w:pStyle w:val="Heading4"/>
      </w:pPr>
      <w:r w:rsidRPr="0010226A">
        <w:t>Operating Leases</w:t>
      </w:r>
    </w:p>
    <w:p w14:paraId="3201592F" w14:textId="77777777" w:rsidR="003412AC" w:rsidRPr="0010226A" w:rsidRDefault="003412AC" w:rsidP="003412AC">
      <w:pPr>
        <w:jc w:val="both"/>
        <w:rPr>
          <w:bCs/>
          <w:sz w:val="22"/>
        </w:rPr>
      </w:pPr>
      <w:r w:rsidRPr="0010226A">
        <w:rPr>
          <w:bCs/>
          <w:sz w:val="22"/>
        </w:rPr>
        <w:t xml:space="preserve">Access Board occupies office space under a lease agreement that is accounted for as an operating lease in Washington, DC. The lease for office space at 1331 F Street NW started on July 1, 2018 and expires </w:t>
      </w:r>
      <w:r w:rsidRPr="0010226A">
        <w:rPr>
          <w:bCs/>
          <w:sz w:val="22"/>
        </w:rPr>
        <w:lastRenderedPageBreak/>
        <w:t>December 30, 2021</w:t>
      </w:r>
      <w:proofErr w:type="gramStart"/>
      <w:r w:rsidRPr="0010226A">
        <w:rPr>
          <w:bCs/>
          <w:sz w:val="22"/>
        </w:rPr>
        <w:t xml:space="preserve">. </w:t>
      </w:r>
      <w:proofErr w:type="gramEnd"/>
      <w:r w:rsidRPr="0010226A">
        <w:rPr>
          <w:bCs/>
          <w:sz w:val="22"/>
        </w:rPr>
        <w:t>Lease payments are increased annually based on the adjustments for operating costs and real estate escalations</w:t>
      </w:r>
      <w:proofErr w:type="gramStart"/>
      <w:r w:rsidRPr="0010226A">
        <w:rPr>
          <w:bCs/>
          <w:sz w:val="22"/>
        </w:rPr>
        <w:t xml:space="preserve">. </w:t>
      </w:r>
      <w:proofErr w:type="gramEnd"/>
      <w:r w:rsidRPr="0010226A">
        <w:rPr>
          <w:bCs/>
          <w:sz w:val="22"/>
        </w:rPr>
        <w:t>A schedule of future payments is as follows:</w:t>
      </w:r>
    </w:p>
    <w:p w14:paraId="78C72A40" w14:textId="77777777" w:rsidR="003412AC" w:rsidRPr="0010226A" w:rsidRDefault="003412AC" w:rsidP="00B62682">
      <w:pPr>
        <w:pStyle w:val="Heading3"/>
      </w:pPr>
      <w:r w:rsidRPr="0010226A">
        <w:rPr>
          <w:noProof/>
        </w:rPr>
        <w:drawing>
          <wp:anchor distT="0" distB="0" distL="114300" distR="114300" simplePos="0" relativeHeight="251659264" behindDoc="0" locked="0" layoutInCell="1" allowOverlap="1" wp14:anchorId="01B6A40B" wp14:editId="56BFE17B">
            <wp:simplePos x="0" y="0"/>
            <wp:positionH relativeFrom="column">
              <wp:posOffset>0</wp:posOffset>
            </wp:positionH>
            <wp:positionV relativeFrom="paragraph">
              <wp:posOffset>71755</wp:posOffset>
            </wp:positionV>
            <wp:extent cx="5455920" cy="1577975"/>
            <wp:effectExtent l="0" t="0" r="0" b="3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5920" cy="1577975"/>
                    </a:xfrm>
                    <a:prstGeom prst="rect">
                      <a:avLst/>
                    </a:prstGeom>
                    <a:noFill/>
                  </pic:spPr>
                </pic:pic>
              </a:graphicData>
            </a:graphic>
            <wp14:sizeRelH relativeFrom="page">
              <wp14:pctWidth>0</wp14:pctWidth>
            </wp14:sizeRelH>
            <wp14:sizeRelV relativeFrom="page">
              <wp14:pctHeight>0</wp14:pctHeight>
            </wp14:sizeRelV>
          </wp:anchor>
        </w:drawing>
      </w:r>
      <w:r w:rsidRPr="0010226A">
        <w:t>NOTE 9.  INTER-ENTITY COSTS</w:t>
      </w:r>
    </w:p>
    <w:p w14:paraId="001C5488" w14:textId="77777777" w:rsidR="003412AC" w:rsidRPr="0010226A" w:rsidRDefault="003412AC" w:rsidP="003412AC">
      <w:pPr>
        <w:jc w:val="both"/>
        <w:rPr>
          <w:sz w:val="22"/>
        </w:rPr>
      </w:pPr>
      <w:r w:rsidRPr="0010226A">
        <w:rPr>
          <w:sz w:val="22"/>
        </w:rPr>
        <w:t>Access Board recognizes certain inter-entity costs for goods and services that are received from other federal entities at no cost or at a cost less than the full cost.  Certain costs of the providing entity that are not fully reimbursed are recognized as imputed cost and are offset by imputed revenue.  Such imputed costs relate to employee benefits and claims to be settled by the Treasury Judgement Fund.  Access Board recognizes as inter-entity costs the amount of accrued pension and post-retirement benefit expenses for current employees.  The assets and liabilities associated with such benefits are the responsibility of the administering agency, OPM.    For the periods ended September 30, 2019 and 2018, respectively, inter-entity costs were as follows:</w:t>
      </w:r>
    </w:p>
    <w:p w14:paraId="59E392A9" w14:textId="77777777" w:rsidR="003412AC" w:rsidRPr="0010226A" w:rsidRDefault="003412AC" w:rsidP="003412AC">
      <w:r w:rsidRPr="0010226A">
        <w:rPr>
          <w:noProof/>
        </w:rPr>
        <w:drawing>
          <wp:inline distT="0" distB="0" distL="0" distR="0" wp14:anchorId="1A3A2153" wp14:editId="431D3E60">
            <wp:extent cx="5514975" cy="971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4975" cy="971550"/>
                    </a:xfrm>
                    <a:prstGeom prst="rect">
                      <a:avLst/>
                    </a:prstGeom>
                    <a:noFill/>
                    <a:ln>
                      <a:noFill/>
                    </a:ln>
                  </pic:spPr>
                </pic:pic>
              </a:graphicData>
            </a:graphic>
          </wp:inline>
        </w:drawing>
      </w:r>
    </w:p>
    <w:p w14:paraId="0A7E5283" w14:textId="56080CD8" w:rsidR="003412AC" w:rsidRDefault="003412AC" w:rsidP="003412AC">
      <w:pPr>
        <w:rPr>
          <w:b/>
          <w:bCs/>
          <w:sz w:val="22"/>
        </w:rPr>
      </w:pPr>
    </w:p>
    <w:p w14:paraId="2B3029C8" w14:textId="77777777" w:rsidR="003412AC" w:rsidRPr="0010226A" w:rsidRDefault="003412AC" w:rsidP="00B62682">
      <w:pPr>
        <w:pStyle w:val="Heading3"/>
      </w:pPr>
      <w:r w:rsidRPr="0010226A">
        <w:t>NOTE 10</w:t>
      </w:r>
      <w:proofErr w:type="gramStart"/>
      <w:r w:rsidRPr="0010226A">
        <w:t xml:space="preserve">. </w:t>
      </w:r>
      <w:proofErr w:type="gramEnd"/>
      <w:r w:rsidRPr="0010226A">
        <w:t>UNDELIVERED ORDERS AT THE END OF THE PERIOD</w:t>
      </w:r>
    </w:p>
    <w:p w14:paraId="71BFAE5A" w14:textId="77777777" w:rsidR="003412AC" w:rsidRPr="0010226A" w:rsidRDefault="003412AC" w:rsidP="003412AC">
      <w:pPr>
        <w:jc w:val="both"/>
        <w:rPr>
          <w:bCs/>
          <w:sz w:val="22"/>
        </w:rPr>
      </w:pPr>
      <w:r w:rsidRPr="0010226A">
        <w:rPr>
          <w:bCs/>
          <w:sz w:val="22"/>
        </w:rPr>
        <w:t>As of September 30, 2019, budgetary resources obligated for undelivered orders were as follows:</w:t>
      </w:r>
    </w:p>
    <w:p w14:paraId="6190A496" w14:textId="77777777" w:rsidR="003412AC" w:rsidRPr="0010226A" w:rsidRDefault="003412AC" w:rsidP="003412AC">
      <w:pPr>
        <w:jc w:val="both"/>
        <w:rPr>
          <w:bCs/>
          <w:sz w:val="22"/>
        </w:rPr>
      </w:pPr>
      <w:r w:rsidRPr="0010226A">
        <w:rPr>
          <w:bCs/>
          <w:noProof/>
          <w:sz w:val="22"/>
        </w:rPr>
        <w:drawing>
          <wp:inline distT="0" distB="0" distL="0" distR="0" wp14:anchorId="53EEBED1" wp14:editId="091B3EE2">
            <wp:extent cx="548640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200150"/>
                    </a:xfrm>
                    <a:prstGeom prst="rect">
                      <a:avLst/>
                    </a:prstGeom>
                    <a:noFill/>
                    <a:ln>
                      <a:noFill/>
                    </a:ln>
                  </pic:spPr>
                </pic:pic>
              </a:graphicData>
            </a:graphic>
          </wp:inline>
        </w:drawing>
      </w:r>
    </w:p>
    <w:p w14:paraId="0506EBEF" w14:textId="77777777" w:rsidR="003412AC" w:rsidRPr="0010226A" w:rsidRDefault="003412AC" w:rsidP="003412AC">
      <w:pPr>
        <w:jc w:val="both"/>
        <w:rPr>
          <w:bCs/>
          <w:sz w:val="22"/>
        </w:rPr>
      </w:pPr>
      <w:r w:rsidRPr="0010226A">
        <w:rPr>
          <w:bCs/>
          <w:sz w:val="22"/>
        </w:rPr>
        <w:t>As of September 30, 2018, budgetary resources obligated for undelivered orders were as follows:</w:t>
      </w:r>
    </w:p>
    <w:p w14:paraId="7595D057" w14:textId="77777777" w:rsidR="003412AC" w:rsidRPr="0010226A" w:rsidRDefault="003412AC" w:rsidP="003412AC">
      <w:pPr>
        <w:jc w:val="both"/>
        <w:rPr>
          <w:bCs/>
          <w:sz w:val="22"/>
        </w:rPr>
      </w:pPr>
      <w:r w:rsidRPr="0010226A">
        <w:rPr>
          <w:bCs/>
          <w:noProof/>
          <w:sz w:val="22"/>
        </w:rPr>
        <w:drawing>
          <wp:inline distT="0" distB="0" distL="0" distR="0" wp14:anchorId="7548073D" wp14:editId="674AB6A1">
            <wp:extent cx="548640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181100"/>
                    </a:xfrm>
                    <a:prstGeom prst="rect">
                      <a:avLst/>
                    </a:prstGeom>
                    <a:noFill/>
                    <a:ln>
                      <a:noFill/>
                    </a:ln>
                  </pic:spPr>
                </pic:pic>
              </a:graphicData>
            </a:graphic>
          </wp:inline>
        </w:drawing>
      </w:r>
    </w:p>
    <w:p w14:paraId="0F66935E" w14:textId="77777777" w:rsidR="003412AC" w:rsidRPr="0010226A" w:rsidRDefault="003412AC" w:rsidP="00B62682">
      <w:pPr>
        <w:pStyle w:val="Heading3"/>
      </w:pPr>
      <w:r w:rsidRPr="0010226A">
        <w:lastRenderedPageBreak/>
        <w:t>NOTE 11.  EXPLANATION OF DIFFERENCES BETWEEN THE SBR AND THE BUDGET OF THE U.S. GOVERNMENT</w:t>
      </w:r>
    </w:p>
    <w:p w14:paraId="6D303711" w14:textId="77777777" w:rsidR="003412AC" w:rsidRPr="0010226A" w:rsidRDefault="003412AC" w:rsidP="003412AC">
      <w:pPr>
        <w:jc w:val="both"/>
        <w:rPr>
          <w:sz w:val="22"/>
        </w:rPr>
      </w:pPr>
    </w:p>
    <w:p w14:paraId="6DBD70AC" w14:textId="77777777" w:rsidR="003412AC" w:rsidRPr="0010226A" w:rsidRDefault="003412AC" w:rsidP="003412AC">
      <w:pPr>
        <w:jc w:val="both"/>
        <w:rPr>
          <w:sz w:val="22"/>
        </w:rPr>
      </w:pPr>
      <w:r w:rsidRPr="0010226A">
        <w:rPr>
          <w:sz w:val="22"/>
        </w:rPr>
        <w:t xml:space="preserve">The President’s Budget that will include fiscal year 2019 actual budgetary execution information has not yet been published.  The President’s Budget is scheduled for publication in February 2020 and can be found at the OMB Web site:  </w:t>
      </w:r>
      <w:hyperlink r:id="rId19" w:history="1">
        <w:r w:rsidRPr="0010226A">
          <w:rPr>
            <w:i/>
            <w:color w:val="0000FF"/>
            <w:sz w:val="22"/>
            <w:u w:val="single"/>
          </w:rPr>
          <w:t>http://www.whitehouse.gov/omb</w:t>
        </w:r>
        <w:r w:rsidRPr="0010226A">
          <w:rPr>
            <w:i/>
            <w:color w:val="0000FF"/>
            <w:u w:val="single"/>
          </w:rPr>
          <w:t>/</w:t>
        </w:r>
        <w:r w:rsidRPr="0010226A">
          <w:rPr>
            <w:color w:val="0000FF"/>
            <w:sz w:val="22"/>
            <w:u w:val="single"/>
          </w:rPr>
          <w:t xml:space="preserve">. </w:t>
        </w:r>
      </w:hyperlink>
      <w:r w:rsidRPr="0010226A">
        <w:rPr>
          <w:sz w:val="22"/>
        </w:rPr>
        <w:t xml:space="preserve"> The 2020 Budget of the United States Government, with the "Actual" column completed for 2018, has been reconciled to the Statement of Budgetary Resources and there were no material differences. </w:t>
      </w:r>
    </w:p>
    <w:p w14:paraId="17986D19" w14:textId="77777777" w:rsidR="003412AC" w:rsidRPr="0010226A" w:rsidRDefault="003412AC" w:rsidP="003412AC">
      <w:pPr>
        <w:spacing w:after="120"/>
        <w:jc w:val="both"/>
        <w:rPr>
          <w:sz w:val="22"/>
        </w:rPr>
      </w:pPr>
      <w:r w:rsidRPr="0010226A">
        <w:rPr>
          <w:noProof/>
          <w:sz w:val="22"/>
        </w:rPr>
        <w:drawing>
          <wp:inline distT="0" distB="0" distL="0" distR="0" wp14:anchorId="384D27EA" wp14:editId="0301054B">
            <wp:extent cx="5486400" cy="1730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730375"/>
                    </a:xfrm>
                    <a:prstGeom prst="rect">
                      <a:avLst/>
                    </a:prstGeom>
                    <a:noFill/>
                    <a:ln>
                      <a:noFill/>
                    </a:ln>
                  </pic:spPr>
                </pic:pic>
              </a:graphicData>
            </a:graphic>
          </wp:inline>
        </w:drawing>
      </w:r>
    </w:p>
    <w:p w14:paraId="4D9E203D" w14:textId="0DE1A34C" w:rsidR="003412AC" w:rsidRDefault="003412AC" w:rsidP="003412AC">
      <w:pPr>
        <w:rPr>
          <w:b/>
          <w:bCs/>
          <w:color w:val="000000"/>
          <w:sz w:val="22"/>
        </w:rPr>
      </w:pPr>
    </w:p>
    <w:p w14:paraId="46479AED" w14:textId="77777777" w:rsidR="003412AC" w:rsidRPr="0010226A" w:rsidRDefault="003412AC" w:rsidP="00B62682">
      <w:pPr>
        <w:pStyle w:val="Heading3"/>
      </w:pPr>
      <w:r w:rsidRPr="0010226A">
        <w:t xml:space="preserve">NOTE 12.  RECONCILIATION OF NET COST TO NET OUTLAYS </w:t>
      </w:r>
    </w:p>
    <w:p w14:paraId="440F5CF9" w14:textId="77777777" w:rsidR="003412AC" w:rsidRPr="0010226A" w:rsidRDefault="003412AC" w:rsidP="003412AC">
      <w:pPr>
        <w:jc w:val="both"/>
        <w:rPr>
          <w:sz w:val="22"/>
        </w:rPr>
      </w:pPr>
      <w:proofErr w:type="gramStart"/>
      <w:r w:rsidRPr="0010226A">
        <w:rPr>
          <w:sz w:val="22"/>
        </w:rPr>
        <w:t>The reconciliation of net outlays,</w:t>
      </w:r>
      <w:proofErr w:type="gramEnd"/>
      <w:r w:rsidRPr="0010226A">
        <w:rPr>
          <w:sz w:val="22"/>
        </w:rPr>
        <w:t xml:space="preserve"> presented on a budgetary basis, and the net cost, presented on an accrual basis, provides an explanation of the relationship between budgetary and financial accounting information. </w:t>
      </w:r>
    </w:p>
    <w:p w14:paraId="1C6EA55C" w14:textId="77777777" w:rsidR="003412AC" w:rsidRPr="0010226A" w:rsidRDefault="003412AC" w:rsidP="003412AC">
      <w:pPr>
        <w:jc w:val="both"/>
        <w:rPr>
          <w:noProof/>
        </w:rPr>
      </w:pPr>
    </w:p>
    <w:p w14:paraId="5BCA7949" w14:textId="77777777" w:rsidR="003412AC" w:rsidRPr="0010226A" w:rsidRDefault="003412AC" w:rsidP="003412AC">
      <w:pPr>
        <w:jc w:val="both"/>
        <w:rPr>
          <w:sz w:val="22"/>
        </w:rPr>
      </w:pPr>
      <w:r w:rsidRPr="0010226A">
        <w:rPr>
          <w:noProof/>
          <w:sz w:val="22"/>
        </w:rPr>
        <w:lastRenderedPageBreak/>
        <w:drawing>
          <wp:inline distT="0" distB="0" distL="0" distR="0" wp14:anchorId="5934B415" wp14:editId="55ED7F6B">
            <wp:extent cx="5486400" cy="62972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6297295"/>
                    </a:xfrm>
                    <a:prstGeom prst="rect">
                      <a:avLst/>
                    </a:prstGeom>
                    <a:noFill/>
                    <a:ln>
                      <a:noFill/>
                    </a:ln>
                  </pic:spPr>
                </pic:pic>
              </a:graphicData>
            </a:graphic>
          </wp:inline>
        </w:drawing>
      </w:r>
    </w:p>
    <w:p w14:paraId="62F75963" w14:textId="41F119CF" w:rsidR="00EE22F8" w:rsidRPr="003412AC" w:rsidRDefault="00EE22F8" w:rsidP="003412AC"/>
    <w:sectPr w:rsidR="00EE22F8" w:rsidRPr="003412AC" w:rsidSect="000454F0">
      <w:headerReference w:type="even" r:id="rId22"/>
      <w:headerReference w:type="default" r:id="rId23"/>
      <w:footerReference w:type="default" r:id="rId24"/>
      <w:headerReference w:type="first" r:id="rId25"/>
      <w:footerReference w:type="first" r:id="rId26"/>
      <w:pgSz w:w="12240" w:h="15840" w:code="1"/>
      <w:pgMar w:top="1258" w:right="1440" w:bottom="1440" w:left="1440" w:header="1080" w:footer="864" w:gutter="0"/>
      <w:pgBorders w:offsetFrom="page">
        <w:top w:val="single" w:sz="2" w:space="24" w:color="auto"/>
        <w:left w:val="single" w:sz="2" w:space="24" w:color="auto"/>
        <w:bottom w:val="single" w:sz="2" w:space="24" w:color="auto"/>
        <w:right w:val="single" w:sz="2" w:space="24" w:color="auto"/>
      </w:pgBorders>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47EAD" w14:textId="77777777" w:rsidR="00ED67AF" w:rsidRDefault="00ED67AF">
      <w:r>
        <w:separator/>
      </w:r>
    </w:p>
  </w:endnote>
  <w:endnote w:type="continuationSeparator" w:id="0">
    <w:p w14:paraId="023EEB6A" w14:textId="77777777" w:rsidR="00ED67AF" w:rsidRDefault="00ED6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TC Giovanni Std Book">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B8FC3" w14:textId="77777777" w:rsidR="009C5A4B" w:rsidRPr="00D403FE" w:rsidRDefault="009C5A4B" w:rsidP="00D403FE">
    <w:pPr>
      <w:pStyle w:val="Footer"/>
      <w:jc w:val="center"/>
    </w:pPr>
    <w:r>
      <w:fldChar w:fldCharType="begin"/>
    </w:r>
    <w:r>
      <w:instrText xml:space="preserve"> PAGE   \* MERGEFORMAT </w:instrText>
    </w:r>
    <w:r>
      <w:fldChar w:fldCharType="separate"/>
    </w:r>
    <w:r>
      <w:rPr>
        <w:noProof/>
      </w:rPr>
      <w:t>19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FEC18" w14:textId="77777777" w:rsidR="009C5A4B" w:rsidRDefault="009C5A4B" w:rsidP="008343AD">
    <w:pPr>
      <w:pStyle w:val="Footer"/>
      <w:jc w:val="center"/>
    </w:pPr>
    <w:r>
      <w:fldChar w:fldCharType="begin"/>
    </w:r>
    <w:r>
      <w:instrText xml:space="preserve"> PAGE   \* MERGEFORMAT </w:instrText>
    </w:r>
    <w:r>
      <w:fldChar w:fldCharType="separate"/>
    </w:r>
    <w:r>
      <w:rPr>
        <w:noProof/>
      </w:rPr>
      <w:t>15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B97E1" w14:textId="77777777" w:rsidR="00ED67AF" w:rsidRDefault="00ED67AF">
      <w:r>
        <w:separator/>
      </w:r>
    </w:p>
  </w:footnote>
  <w:footnote w:type="continuationSeparator" w:id="0">
    <w:p w14:paraId="1C275156" w14:textId="77777777" w:rsidR="00ED67AF" w:rsidRDefault="00ED6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7CAB9" w14:textId="08A09CBA" w:rsidR="009C5A4B" w:rsidRDefault="00ED67AF">
    <w:pPr>
      <w:pStyle w:val="Header"/>
    </w:pPr>
    <w:r>
      <w:rPr>
        <w:noProof/>
      </w:rPr>
      <w:pict w14:anchorId="0174B4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0860641" o:spid="_x0000_s2056" type="#_x0000_t136" style="position:absolute;margin-left:0;margin-top:0;width:471.3pt;height:188.5pt;rotation:315;z-index:-2516469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3412AC">
      <w:rPr>
        <w:noProof/>
      </w:rPr>
      <mc:AlternateContent>
        <mc:Choice Requires="wps">
          <w:drawing>
            <wp:anchor distT="0" distB="0" distL="114300" distR="114300" simplePos="0" relativeHeight="251666432" behindDoc="0" locked="0" layoutInCell="1" allowOverlap="1" wp14:anchorId="75418E53" wp14:editId="54B04053">
              <wp:simplePos x="0" y="0"/>
              <wp:positionH relativeFrom="column">
                <wp:posOffset>0</wp:posOffset>
              </wp:positionH>
              <wp:positionV relativeFrom="paragraph">
                <wp:posOffset>0</wp:posOffset>
              </wp:positionV>
              <wp:extent cx="6517640" cy="18618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517640" cy="186182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B157218" id="_x0000_t202" coordsize="21600,21600" o:spt="202" path="m,l,21600r21600,l21600,xe">
              <v:stroke joinstyle="miter"/>
              <v:path gradientshapeok="t" o:connecttype="rect"/>
            </v:shapetype>
            <v:shape id="Text Box 3" o:spid="_x0000_s1026" type="#_x0000_t202" style="position:absolute;margin-left:0;margin-top:0;width:513.2pt;height:14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" filled="f" stroked="f">
              <o:lock v:ext="edit" text="t" shapetype="t"/>
            </v:shape>
          </w:pict>
        </mc:Fallback>
      </mc:AlternateContent>
    </w:r>
    <w:r w:rsidR="009C5A4B">
      <w:rPr>
        <w:noProof/>
      </w:rPr>
      <mc:AlternateContent>
        <mc:Choice Requires="wps">
          <w:drawing>
            <wp:anchor distT="0" distB="0" distL="114300" distR="114300" simplePos="0" relativeHeight="251664384" behindDoc="1" locked="0" layoutInCell="0" allowOverlap="1" wp14:anchorId="401BD263" wp14:editId="0663057F">
              <wp:simplePos x="0" y="0"/>
              <wp:positionH relativeFrom="margin">
                <wp:align>center</wp:align>
              </wp:positionH>
              <wp:positionV relativeFrom="margin">
                <wp:align>center</wp:align>
              </wp:positionV>
              <wp:extent cx="5985510" cy="2393950"/>
              <wp:effectExtent l="0" t="1524000" r="0" b="1377950"/>
              <wp:wrapNone/>
              <wp:docPr id="42" name="WordArt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85510" cy="23939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F741D9B" w14:textId="77777777" w:rsidR="009C5A4B" w:rsidRDefault="009C5A4B" w:rsidP="004F74BF">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01BD263" id="WordArt 26" o:spid="_x0000_s1026" type="#_x0000_t202" style="position:absolute;margin-left:0;margin-top:0;width:471.3pt;height:188.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" o:allowincell="f" filled="f" stroked="f">
              <v:stroke joinstyle="round"/>
              <o:lock v:ext="edit" shapetype="t"/>
              <v:textbox style="mso-fit-shape-to-text:t">
                <w:txbxContent>
                  <w:p w14:paraId="6F741D9B" w14:textId="77777777" w:rsidR="009C5A4B" w:rsidRDefault="009C5A4B" w:rsidP="004F74BF">
                    <w:pPr>
                      <w:pStyle w:val="NormalWeb"/>
                      <w:spacing w:before="0" w:beforeAutospacing="0" w:after="0" w:afterAutospacing="0"/>
                      <w:jc w:val="center"/>
                    </w:pPr>
                    <w:r>
                      <w:rPr>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5C244" w14:textId="3F82162F" w:rsidR="009C5A4B" w:rsidRPr="00FD6757" w:rsidRDefault="00ED67AF" w:rsidP="00FD6757">
    <w:pPr>
      <w:pStyle w:val="Header"/>
    </w:pPr>
    <w:r>
      <w:rPr>
        <w:noProof/>
      </w:rPr>
      <w:pict w14:anchorId="6EFDF5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0860642" o:spid="_x0000_s2057" type="#_x0000_t136" style="position:absolute;margin-left:0;margin-top:0;width:471.3pt;height:188.5pt;rotation:315;z-index:-2516459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3412AC">
      <w:rPr>
        <w:noProof/>
      </w:rPr>
      <mc:AlternateContent>
        <mc:Choice Requires="wps">
          <w:drawing>
            <wp:anchor distT="0" distB="0" distL="114300" distR="114300" simplePos="0" relativeHeight="251667456" behindDoc="0" locked="0" layoutInCell="1" allowOverlap="1" wp14:anchorId="1FB46BE3" wp14:editId="7DCD13EB">
              <wp:simplePos x="0" y="0"/>
              <wp:positionH relativeFrom="column">
                <wp:posOffset>0</wp:posOffset>
              </wp:positionH>
              <wp:positionV relativeFrom="paragraph">
                <wp:posOffset>0</wp:posOffset>
              </wp:positionV>
              <wp:extent cx="6517640" cy="18618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517640" cy="186182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98993FD" id="_x0000_t202" coordsize="21600,21600" o:spt="202" path="m,l,21600r21600,l21600,xe">
              <v:stroke joinstyle="miter"/>
              <v:path gradientshapeok="t" o:connecttype="rect"/>
            </v:shapetype>
            <v:shape id="Text Box 2" o:spid="_x0000_s1026" type="#_x0000_t202" style="position:absolute;margin-left:0;margin-top:0;width:513.2pt;height:14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" filled="f" stroked="f">
              <o:lock v:ext="edit" text="t" shapetype="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7189B" w14:textId="13D4C1FD" w:rsidR="009C5A4B" w:rsidRPr="00FD6757" w:rsidRDefault="00ED67AF" w:rsidP="00FD6757">
    <w:pPr>
      <w:pStyle w:val="Header"/>
    </w:pPr>
    <w:r>
      <w:rPr>
        <w:noProof/>
      </w:rPr>
      <w:pict w14:anchorId="679BAC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0860640" o:spid="_x0000_s2055" type="#_x0000_t136" style="position:absolute;margin-left:0;margin-top:0;width:471.3pt;height:188.5pt;rotation:315;z-index:-25164800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3412AC">
      <w:rPr>
        <w:noProof/>
      </w:rPr>
      <mc:AlternateContent>
        <mc:Choice Requires="wps">
          <w:drawing>
            <wp:anchor distT="0" distB="0" distL="114300" distR="114300" simplePos="0" relativeHeight="251665408" behindDoc="0" locked="0" layoutInCell="1" allowOverlap="1" wp14:anchorId="5A3647FA" wp14:editId="660974DA">
              <wp:simplePos x="0" y="0"/>
              <wp:positionH relativeFrom="column">
                <wp:posOffset>0</wp:posOffset>
              </wp:positionH>
              <wp:positionV relativeFrom="paragraph">
                <wp:posOffset>0</wp:posOffset>
              </wp:positionV>
              <wp:extent cx="6517640" cy="186182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517640" cy="186182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C97B95" id="_x0000_t202" coordsize="21600,21600" o:spt="202" path="m,l,21600r21600,l21600,xe">
              <v:stroke joinstyle="miter"/>
              <v:path gradientshapeok="t" o:connecttype="rect"/>
            </v:shapetype>
            <v:shape id="Text Box 1" o:spid="_x0000_s1026" type="#_x0000_t202" style="position:absolute;margin-left:0;margin-top:0;width:513.2pt;height:14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" filled="f" stroked="f">
              <o:lock v:ext="edit" text="t" shapetype="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16E6D"/>
    <w:multiLevelType w:val="hybridMultilevel"/>
    <w:tmpl w:val="2CD4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87CD9"/>
    <w:multiLevelType w:val="hybridMultilevel"/>
    <w:tmpl w:val="D2A6E4C0"/>
    <w:lvl w:ilvl="0" w:tplc="52B2FDFC">
      <w:numFmt w:val="bullet"/>
      <w:lvlText w:val=""/>
      <w:lvlJc w:val="left"/>
      <w:pPr>
        <w:ind w:left="960" w:hanging="360"/>
      </w:pPr>
      <w:rPr>
        <w:rFonts w:ascii="Symbol" w:eastAsia="Symbol" w:hAnsi="Symbol" w:cs="Symbol" w:hint="default"/>
        <w:w w:val="100"/>
        <w:sz w:val="24"/>
        <w:szCs w:val="24"/>
      </w:rPr>
    </w:lvl>
    <w:lvl w:ilvl="1" w:tplc="3E081DCA">
      <w:numFmt w:val="bullet"/>
      <w:lvlText w:val="•"/>
      <w:lvlJc w:val="left"/>
      <w:pPr>
        <w:ind w:left="1848" w:hanging="360"/>
      </w:pPr>
      <w:rPr>
        <w:rFonts w:hint="default"/>
      </w:rPr>
    </w:lvl>
    <w:lvl w:ilvl="2" w:tplc="3BA0F490">
      <w:numFmt w:val="bullet"/>
      <w:lvlText w:val="•"/>
      <w:lvlJc w:val="left"/>
      <w:pPr>
        <w:ind w:left="2736" w:hanging="360"/>
      </w:pPr>
      <w:rPr>
        <w:rFonts w:hint="default"/>
      </w:rPr>
    </w:lvl>
    <w:lvl w:ilvl="3" w:tplc="CDC80190">
      <w:numFmt w:val="bullet"/>
      <w:lvlText w:val="•"/>
      <w:lvlJc w:val="left"/>
      <w:pPr>
        <w:ind w:left="3624" w:hanging="360"/>
      </w:pPr>
      <w:rPr>
        <w:rFonts w:hint="default"/>
      </w:rPr>
    </w:lvl>
    <w:lvl w:ilvl="4" w:tplc="606686A4">
      <w:numFmt w:val="bullet"/>
      <w:lvlText w:val="•"/>
      <w:lvlJc w:val="left"/>
      <w:pPr>
        <w:ind w:left="4512" w:hanging="360"/>
      </w:pPr>
      <w:rPr>
        <w:rFonts w:hint="default"/>
      </w:rPr>
    </w:lvl>
    <w:lvl w:ilvl="5" w:tplc="E620EF12">
      <w:numFmt w:val="bullet"/>
      <w:lvlText w:val="•"/>
      <w:lvlJc w:val="left"/>
      <w:pPr>
        <w:ind w:left="5400" w:hanging="360"/>
      </w:pPr>
      <w:rPr>
        <w:rFonts w:hint="default"/>
      </w:rPr>
    </w:lvl>
    <w:lvl w:ilvl="6" w:tplc="1C44E0E4">
      <w:numFmt w:val="bullet"/>
      <w:lvlText w:val="•"/>
      <w:lvlJc w:val="left"/>
      <w:pPr>
        <w:ind w:left="6288" w:hanging="360"/>
      </w:pPr>
      <w:rPr>
        <w:rFonts w:hint="default"/>
      </w:rPr>
    </w:lvl>
    <w:lvl w:ilvl="7" w:tplc="208E2850">
      <w:numFmt w:val="bullet"/>
      <w:lvlText w:val="•"/>
      <w:lvlJc w:val="left"/>
      <w:pPr>
        <w:ind w:left="7176" w:hanging="360"/>
      </w:pPr>
      <w:rPr>
        <w:rFonts w:hint="default"/>
      </w:rPr>
    </w:lvl>
    <w:lvl w:ilvl="8" w:tplc="F9D03E38">
      <w:numFmt w:val="bullet"/>
      <w:lvlText w:val="•"/>
      <w:lvlJc w:val="left"/>
      <w:pPr>
        <w:ind w:left="8064" w:hanging="360"/>
      </w:pPr>
      <w:rPr>
        <w:rFonts w:hint="default"/>
      </w:rPr>
    </w:lvl>
  </w:abstractNum>
  <w:abstractNum w:abstractNumId="2" w15:restartNumberingAfterBreak="0">
    <w:nsid w:val="3CAF427B"/>
    <w:multiLevelType w:val="hybridMultilevel"/>
    <w:tmpl w:val="7BC6F460"/>
    <w:lvl w:ilvl="0" w:tplc="B88A2204">
      <w:numFmt w:val="bullet"/>
      <w:lvlText w:val="•"/>
      <w:lvlJc w:val="left"/>
      <w:pPr>
        <w:ind w:left="1238" w:hanging="360"/>
      </w:pPr>
      <w:rPr>
        <w:rFonts w:ascii="Arial" w:eastAsia="Arial" w:hAnsi="Arial" w:cs="Arial" w:hint="default"/>
        <w:w w:val="98"/>
        <w:sz w:val="24"/>
        <w:szCs w:val="24"/>
      </w:rPr>
    </w:lvl>
    <w:lvl w:ilvl="1" w:tplc="6B3EA238">
      <w:numFmt w:val="bullet"/>
      <w:lvlText w:val="•"/>
      <w:lvlJc w:val="left"/>
      <w:pPr>
        <w:ind w:left="2073" w:hanging="360"/>
      </w:pPr>
      <w:rPr>
        <w:rFonts w:hint="default"/>
      </w:rPr>
    </w:lvl>
    <w:lvl w:ilvl="2" w:tplc="ECF87D6E">
      <w:numFmt w:val="bullet"/>
      <w:lvlText w:val="•"/>
      <w:lvlJc w:val="left"/>
      <w:pPr>
        <w:ind w:left="2917" w:hanging="360"/>
      </w:pPr>
      <w:rPr>
        <w:rFonts w:hint="default"/>
      </w:rPr>
    </w:lvl>
    <w:lvl w:ilvl="3" w:tplc="5DDC39FA">
      <w:numFmt w:val="bullet"/>
      <w:lvlText w:val="•"/>
      <w:lvlJc w:val="left"/>
      <w:pPr>
        <w:ind w:left="3761" w:hanging="360"/>
      </w:pPr>
      <w:rPr>
        <w:rFonts w:hint="default"/>
      </w:rPr>
    </w:lvl>
    <w:lvl w:ilvl="4" w:tplc="A2E0EDF0">
      <w:numFmt w:val="bullet"/>
      <w:lvlText w:val="•"/>
      <w:lvlJc w:val="left"/>
      <w:pPr>
        <w:ind w:left="4605" w:hanging="360"/>
      </w:pPr>
      <w:rPr>
        <w:rFonts w:hint="default"/>
      </w:rPr>
    </w:lvl>
    <w:lvl w:ilvl="5" w:tplc="CA0E342E">
      <w:numFmt w:val="bullet"/>
      <w:lvlText w:val="•"/>
      <w:lvlJc w:val="left"/>
      <w:pPr>
        <w:ind w:left="5449" w:hanging="360"/>
      </w:pPr>
      <w:rPr>
        <w:rFonts w:hint="default"/>
      </w:rPr>
    </w:lvl>
    <w:lvl w:ilvl="6" w:tplc="276CD820">
      <w:numFmt w:val="bullet"/>
      <w:lvlText w:val="•"/>
      <w:lvlJc w:val="left"/>
      <w:pPr>
        <w:ind w:left="6293" w:hanging="360"/>
      </w:pPr>
      <w:rPr>
        <w:rFonts w:hint="default"/>
      </w:rPr>
    </w:lvl>
    <w:lvl w:ilvl="7" w:tplc="BEB4B350">
      <w:numFmt w:val="bullet"/>
      <w:lvlText w:val="•"/>
      <w:lvlJc w:val="left"/>
      <w:pPr>
        <w:ind w:left="7137" w:hanging="360"/>
      </w:pPr>
      <w:rPr>
        <w:rFonts w:hint="default"/>
      </w:rPr>
    </w:lvl>
    <w:lvl w:ilvl="8" w:tplc="A1547A86">
      <w:numFmt w:val="bullet"/>
      <w:lvlText w:val="•"/>
      <w:lvlJc w:val="left"/>
      <w:pPr>
        <w:ind w:left="7981" w:hanging="360"/>
      </w:pPr>
      <w:rPr>
        <w:rFonts w:hint="default"/>
      </w:rPr>
    </w:lvl>
  </w:abstractNum>
  <w:abstractNum w:abstractNumId="3" w15:restartNumberingAfterBreak="0">
    <w:nsid w:val="3FCF2861"/>
    <w:multiLevelType w:val="hybridMultilevel"/>
    <w:tmpl w:val="A288AA2C"/>
    <w:lvl w:ilvl="0" w:tplc="08422008">
      <w:numFmt w:val="bullet"/>
      <w:lvlText w:val=""/>
      <w:lvlJc w:val="left"/>
      <w:pPr>
        <w:ind w:left="840" w:hanging="360"/>
      </w:pPr>
      <w:rPr>
        <w:rFonts w:ascii="Symbol" w:eastAsia="Symbol" w:hAnsi="Symbol" w:cs="Symbol" w:hint="default"/>
        <w:w w:val="100"/>
        <w:sz w:val="24"/>
        <w:szCs w:val="24"/>
        <w:lang w:val="en-US" w:eastAsia="en-US" w:bidi="en-US"/>
      </w:rPr>
    </w:lvl>
    <w:lvl w:ilvl="1" w:tplc="5048305C">
      <w:numFmt w:val="bullet"/>
      <w:lvlText w:val="•"/>
      <w:lvlJc w:val="left"/>
      <w:pPr>
        <w:ind w:left="1714" w:hanging="360"/>
      </w:pPr>
      <w:rPr>
        <w:rFonts w:hint="default"/>
        <w:lang w:val="en-US" w:eastAsia="en-US" w:bidi="en-US"/>
      </w:rPr>
    </w:lvl>
    <w:lvl w:ilvl="2" w:tplc="A044D58E">
      <w:numFmt w:val="bullet"/>
      <w:lvlText w:val="•"/>
      <w:lvlJc w:val="left"/>
      <w:pPr>
        <w:ind w:left="2588" w:hanging="360"/>
      </w:pPr>
      <w:rPr>
        <w:rFonts w:hint="default"/>
        <w:lang w:val="en-US" w:eastAsia="en-US" w:bidi="en-US"/>
      </w:rPr>
    </w:lvl>
    <w:lvl w:ilvl="3" w:tplc="3392EE58">
      <w:numFmt w:val="bullet"/>
      <w:lvlText w:val="•"/>
      <w:lvlJc w:val="left"/>
      <w:pPr>
        <w:ind w:left="3462" w:hanging="360"/>
      </w:pPr>
      <w:rPr>
        <w:rFonts w:hint="default"/>
        <w:lang w:val="en-US" w:eastAsia="en-US" w:bidi="en-US"/>
      </w:rPr>
    </w:lvl>
    <w:lvl w:ilvl="4" w:tplc="45265384">
      <w:numFmt w:val="bullet"/>
      <w:lvlText w:val="•"/>
      <w:lvlJc w:val="left"/>
      <w:pPr>
        <w:ind w:left="4336" w:hanging="360"/>
      </w:pPr>
      <w:rPr>
        <w:rFonts w:hint="default"/>
        <w:lang w:val="en-US" w:eastAsia="en-US" w:bidi="en-US"/>
      </w:rPr>
    </w:lvl>
    <w:lvl w:ilvl="5" w:tplc="50402DB4">
      <w:numFmt w:val="bullet"/>
      <w:lvlText w:val="•"/>
      <w:lvlJc w:val="left"/>
      <w:pPr>
        <w:ind w:left="5210" w:hanging="360"/>
      </w:pPr>
      <w:rPr>
        <w:rFonts w:hint="default"/>
        <w:lang w:val="en-US" w:eastAsia="en-US" w:bidi="en-US"/>
      </w:rPr>
    </w:lvl>
    <w:lvl w:ilvl="6" w:tplc="CDB2CA8E">
      <w:numFmt w:val="bullet"/>
      <w:lvlText w:val="•"/>
      <w:lvlJc w:val="left"/>
      <w:pPr>
        <w:ind w:left="6084" w:hanging="360"/>
      </w:pPr>
      <w:rPr>
        <w:rFonts w:hint="default"/>
        <w:lang w:val="en-US" w:eastAsia="en-US" w:bidi="en-US"/>
      </w:rPr>
    </w:lvl>
    <w:lvl w:ilvl="7" w:tplc="364E9D58">
      <w:numFmt w:val="bullet"/>
      <w:lvlText w:val="•"/>
      <w:lvlJc w:val="left"/>
      <w:pPr>
        <w:ind w:left="6958" w:hanging="360"/>
      </w:pPr>
      <w:rPr>
        <w:rFonts w:hint="default"/>
        <w:lang w:val="en-US" w:eastAsia="en-US" w:bidi="en-US"/>
      </w:rPr>
    </w:lvl>
    <w:lvl w:ilvl="8" w:tplc="E750790E">
      <w:numFmt w:val="bullet"/>
      <w:lvlText w:val="•"/>
      <w:lvlJc w:val="left"/>
      <w:pPr>
        <w:ind w:left="7832" w:hanging="360"/>
      </w:pPr>
      <w:rPr>
        <w:rFonts w:hint="default"/>
        <w:lang w:val="en-US" w:eastAsia="en-US" w:bidi="en-US"/>
      </w:rPr>
    </w:lvl>
  </w:abstractNum>
  <w:abstractNum w:abstractNumId="4" w15:restartNumberingAfterBreak="0">
    <w:nsid w:val="6FBD7F4C"/>
    <w:multiLevelType w:val="hybridMultilevel"/>
    <w:tmpl w:val="D13C95CA"/>
    <w:lvl w:ilvl="0" w:tplc="D8385992">
      <w:numFmt w:val="bullet"/>
      <w:lvlText w:val="•"/>
      <w:lvlJc w:val="left"/>
      <w:pPr>
        <w:ind w:left="1455" w:hanging="360"/>
      </w:pPr>
      <w:rPr>
        <w:rFonts w:ascii="Arial" w:eastAsia="Arial" w:hAnsi="Arial" w:cs="Arial" w:hint="default"/>
        <w:w w:val="98"/>
        <w:sz w:val="24"/>
        <w:szCs w:val="24"/>
      </w:rPr>
    </w:lvl>
    <w:lvl w:ilvl="1" w:tplc="A02059E8">
      <w:numFmt w:val="bullet"/>
      <w:lvlText w:val="•"/>
      <w:lvlJc w:val="left"/>
      <w:pPr>
        <w:ind w:left="1599" w:hanging="360"/>
      </w:pPr>
      <w:rPr>
        <w:rFonts w:ascii="Arial" w:eastAsia="Arial" w:hAnsi="Arial" w:cs="Arial" w:hint="default"/>
        <w:w w:val="98"/>
        <w:sz w:val="24"/>
        <w:szCs w:val="24"/>
      </w:rPr>
    </w:lvl>
    <w:lvl w:ilvl="2" w:tplc="8EC24C44">
      <w:numFmt w:val="bullet"/>
      <w:lvlText w:val="•"/>
      <w:lvlJc w:val="left"/>
      <w:pPr>
        <w:ind w:left="2446" w:hanging="360"/>
      </w:pPr>
      <w:rPr>
        <w:rFonts w:hint="default"/>
      </w:rPr>
    </w:lvl>
    <w:lvl w:ilvl="3" w:tplc="45A661B4">
      <w:numFmt w:val="bullet"/>
      <w:lvlText w:val="•"/>
      <w:lvlJc w:val="left"/>
      <w:pPr>
        <w:ind w:left="3293" w:hanging="360"/>
      </w:pPr>
      <w:rPr>
        <w:rFonts w:hint="default"/>
      </w:rPr>
    </w:lvl>
    <w:lvl w:ilvl="4" w:tplc="8DE62894">
      <w:numFmt w:val="bullet"/>
      <w:lvlText w:val="•"/>
      <w:lvlJc w:val="left"/>
      <w:pPr>
        <w:ind w:left="4140" w:hanging="360"/>
      </w:pPr>
      <w:rPr>
        <w:rFonts w:hint="default"/>
      </w:rPr>
    </w:lvl>
    <w:lvl w:ilvl="5" w:tplc="00E22C7E">
      <w:numFmt w:val="bullet"/>
      <w:lvlText w:val="•"/>
      <w:lvlJc w:val="left"/>
      <w:pPr>
        <w:ind w:left="4986" w:hanging="360"/>
      </w:pPr>
      <w:rPr>
        <w:rFonts w:hint="default"/>
      </w:rPr>
    </w:lvl>
    <w:lvl w:ilvl="6" w:tplc="31B8CB6A">
      <w:numFmt w:val="bullet"/>
      <w:lvlText w:val="•"/>
      <w:lvlJc w:val="left"/>
      <w:pPr>
        <w:ind w:left="5833" w:hanging="360"/>
      </w:pPr>
      <w:rPr>
        <w:rFonts w:hint="default"/>
      </w:rPr>
    </w:lvl>
    <w:lvl w:ilvl="7" w:tplc="300CB394">
      <w:numFmt w:val="bullet"/>
      <w:lvlText w:val="•"/>
      <w:lvlJc w:val="left"/>
      <w:pPr>
        <w:ind w:left="6680" w:hanging="360"/>
      </w:pPr>
      <w:rPr>
        <w:rFonts w:hint="default"/>
      </w:rPr>
    </w:lvl>
    <w:lvl w:ilvl="8" w:tplc="ECCA8F42">
      <w:numFmt w:val="bullet"/>
      <w:lvlText w:val="•"/>
      <w:lvlJc w:val="left"/>
      <w:pPr>
        <w:ind w:left="7526" w:hanging="360"/>
      </w:pPr>
      <w:rPr>
        <w:rFont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F8"/>
    <w:rsid w:val="003412AC"/>
    <w:rsid w:val="00346162"/>
    <w:rsid w:val="004E578E"/>
    <w:rsid w:val="007B56DF"/>
    <w:rsid w:val="008E2B91"/>
    <w:rsid w:val="009C5A4B"/>
    <w:rsid w:val="00B62682"/>
    <w:rsid w:val="00BD31E0"/>
    <w:rsid w:val="00ED67AF"/>
    <w:rsid w:val="00EE22F8"/>
    <w:rsid w:val="00EE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48210461"/>
  <w15:chartTrackingRefBased/>
  <w15:docId w15:val="{9C74D91D-DEA4-4F92-97A0-1AD12508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F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1"/>
    <w:qFormat/>
    <w:rsid w:val="009C5A4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1"/>
    <w:unhideWhenUsed/>
    <w:qFormat/>
    <w:rsid w:val="00EE22F8"/>
    <w:pPr>
      <w:widowControl w:val="0"/>
      <w:autoSpaceDE w:val="0"/>
      <w:autoSpaceDN w:val="0"/>
      <w:spacing w:before="100" w:beforeAutospacing="1" w:after="100" w:afterAutospacing="1"/>
      <w:ind w:left="187" w:right="187"/>
      <w:jc w:val="center"/>
      <w:outlineLvl w:val="1"/>
    </w:pPr>
    <w:rPr>
      <w:b/>
      <w:bCs/>
    </w:rPr>
  </w:style>
  <w:style w:type="paragraph" w:styleId="Heading3">
    <w:name w:val="heading 3"/>
    <w:basedOn w:val="Normal"/>
    <w:next w:val="Normal"/>
    <w:link w:val="Heading3Char"/>
    <w:uiPriority w:val="9"/>
    <w:unhideWhenUsed/>
    <w:qFormat/>
    <w:rsid w:val="00B62682"/>
    <w:pPr>
      <w:keepNext/>
      <w:spacing w:after="240"/>
      <w:outlineLvl w:val="2"/>
    </w:pPr>
    <w:rPr>
      <w:b/>
      <w:bCs/>
      <w:sz w:val="22"/>
    </w:rPr>
  </w:style>
  <w:style w:type="paragraph" w:styleId="Heading4">
    <w:name w:val="heading 4"/>
    <w:basedOn w:val="Normal"/>
    <w:next w:val="Normal"/>
    <w:link w:val="Heading4Char"/>
    <w:unhideWhenUsed/>
    <w:qFormat/>
    <w:rsid w:val="00B62682"/>
    <w:pPr>
      <w:keepNext/>
      <w:spacing w:after="240"/>
      <w:outlineLvl w:val="3"/>
    </w:pPr>
    <w:rPr>
      <w:b/>
      <w:bCs/>
      <w:iCs/>
      <w:sz w:val="22"/>
    </w:rPr>
  </w:style>
  <w:style w:type="paragraph" w:styleId="Heading5">
    <w:name w:val="heading 5"/>
    <w:basedOn w:val="Normal"/>
    <w:next w:val="Normal"/>
    <w:link w:val="Heading5Char"/>
    <w:uiPriority w:val="9"/>
    <w:unhideWhenUsed/>
    <w:qFormat/>
    <w:rsid w:val="00346162"/>
    <w:pPr>
      <w:spacing w:before="240" w:after="240"/>
      <w:jc w:val="both"/>
      <w:outlineLvl w:val="4"/>
    </w:pPr>
    <w:rPr>
      <w:rFonts w:eastAsia="Arial"/>
      <w:sz w:val="22"/>
      <w:szCs w:val="22"/>
      <w:u w:val="single"/>
    </w:rPr>
  </w:style>
  <w:style w:type="paragraph" w:styleId="Heading6">
    <w:name w:val="heading 6"/>
    <w:basedOn w:val="Normal"/>
    <w:next w:val="Normal"/>
    <w:link w:val="Heading6Char"/>
    <w:uiPriority w:val="9"/>
    <w:unhideWhenUsed/>
    <w:qFormat/>
    <w:rsid w:val="00346162"/>
    <w:pPr>
      <w:spacing w:before="240" w:after="240"/>
      <w:ind w:left="360" w:right="403"/>
      <w:jc w:val="both"/>
      <w:outlineLvl w:val="5"/>
    </w:pPr>
    <w:rPr>
      <w:w w:val="105"/>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E22F8"/>
    <w:rPr>
      <w:rFonts w:ascii="Times New Roman" w:eastAsia="Times New Roman" w:hAnsi="Times New Roman" w:cs="Times New Roman"/>
      <w:b/>
      <w:bCs/>
      <w:sz w:val="24"/>
      <w:szCs w:val="24"/>
    </w:rPr>
  </w:style>
  <w:style w:type="paragraph" w:styleId="Header">
    <w:name w:val="header"/>
    <w:basedOn w:val="Normal"/>
    <w:link w:val="HeaderChar"/>
    <w:uiPriority w:val="99"/>
    <w:rsid w:val="00EE22F8"/>
    <w:pPr>
      <w:widowControl w:val="0"/>
      <w:tabs>
        <w:tab w:val="center" w:pos="4320"/>
        <w:tab w:val="right" w:pos="8640"/>
      </w:tabs>
      <w:autoSpaceDE w:val="0"/>
      <w:autoSpaceDN w:val="0"/>
      <w:adjustRightInd w:val="0"/>
    </w:pPr>
  </w:style>
  <w:style w:type="character" w:customStyle="1" w:styleId="HeaderChar">
    <w:name w:val="Header Char"/>
    <w:basedOn w:val="DefaultParagraphFont"/>
    <w:link w:val="Header"/>
    <w:uiPriority w:val="99"/>
    <w:rsid w:val="00EE22F8"/>
    <w:rPr>
      <w:rFonts w:ascii="Times New Roman" w:eastAsia="Times New Roman" w:hAnsi="Times New Roman" w:cs="Times New Roman"/>
      <w:sz w:val="24"/>
      <w:szCs w:val="24"/>
    </w:rPr>
  </w:style>
  <w:style w:type="paragraph" w:styleId="Footer">
    <w:name w:val="footer"/>
    <w:basedOn w:val="Normal"/>
    <w:link w:val="FooterChar"/>
    <w:uiPriority w:val="99"/>
    <w:rsid w:val="00EE22F8"/>
    <w:pPr>
      <w:widowControl w:val="0"/>
      <w:tabs>
        <w:tab w:val="center" w:pos="4320"/>
        <w:tab w:val="right" w:pos="8640"/>
      </w:tabs>
      <w:autoSpaceDE w:val="0"/>
      <w:autoSpaceDN w:val="0"/>
      <w:adjustRightInd w:val="0"/>
    </w:pPr>
  </w:style>
  <w:style w:type="character" w:customStyle="1" w:styleId="FooterChar">
    <w:name w:val="Footer Char"/>
    <w:basedOn w:val="DefaultParagraphFont"/>
    <w:link w:val="Footer"/>
    <w:uiPriority w:val="99"/>
    <w:rsid w:val="00EE22F8"/>
    <w:rPr>
      <w:rFonts w:ascii="Times New Roman" w:eastAsia="Times New Roman" w:hAnsi="Times New Roman" w:cs="Times New Roman"/>
      <w:sz w:val="24"/>
      <w:szCs w:val="24"/>
    </w:rPr>
  </w:style>
  <w:style w:type="paragraph" w:styleId="NormalWeb">
    <w:name w:val="Normal (Web)"/>
    <w:basedOn w:val="Normal"/>
    <w:uiPriority w:val="99"/>
    <w:semiHidden/>
    <w:unhideWhenUsed/>
    <w:rsid w:val="00EE22F8"/>
    <w:pPr>
      <w:spacing w:before="100" w:beforeAutospacing="1" w:after="100" w:afterAutospacing="1"/>
    </w:pPr>
    <w:rPr>
      <w:rFonts w:eastAsiaTheme="minorEastAsia"/>
    </w:rPr>
  </w:style>
  <w:style w:type="character" w:customStyle="1" w:styleId="Heading3Char">
    <w:name w:val="Heading 3 Char"/>
    <w:basedOn w:val="DefaultParagraphFont"/>
    <w:link w:val="Heading3"/>
    <w:uiPriority w:val="9"/>
    <w:rsid w:val="00B62682"/>
    <w:rPr>
      <w:rFonts w:ascii="Times New Roman" w:eastAsia="Times New Roman" w:hAnsi="Times New Roman" w:cs="Times New Roman"/>
      <w:b/>
      <w:bCs/>
      <w:szCs w:val="24"/>
    </w:rPr>
  </w:style>
  <w:style w:type="character" w:customStyle="1" w:styleId="Heading4Char">
    <w:name w:val="Heading 4 Char"/>
    <w:basedOn w:val="DefaultParagraphFont"/>
    <w:link w:val="Heading4"/>
    <w:rsid w:val="00B62682"/>
    <w:rPr>
      <w:rFonts w:ascii="Times New Roman" w:eastAsia="Times New Roman" w:hAnsi="Times New Roman" w:cs="Times New Roman"/>
      <w:b/>
      <w:bCs/>
      <w:iCs/>
      <w:szCs w:val="24"/>
    </w:rPr>
  </w:style>
  <w:style w:type="character" w:customStyle="1" w:styleId="Heading5Char">
    <w:name w:val="Heading 5 Char"/>
    <w:basedOn w:val="DefaultParagraphFont"/>
    <w:link w:val="Heading5"/>
    <w:uiPriority w:val="9"/>
    <w:rsid w:val="00346162"/>
    <w:rPr>
      <w:rFonts w:ascii="Times New Roman" w:eastAsia="Arial" w:hAnsi="Times New Roman" w:cs="Times New Roman"/>
      <w:u w:val="single"/>
    </w:rPr>
  </w:style>
  <w:style w:type="character" w:customStyle="1" w:styleId="Heading1Char">
    <w:name w:val="Heading 1 Char"/>
    <w:basedOn w:val="DefaultParagraphFont"/>
    <w:link w:val="Heading1"/>
    <w:uiPriority w:val="1"/>
    <w:rsid w:val="009C5A4B"/>
    <w:rPr>
      <w:rFonts w:ascii="Cambria" w:eastAsia="Times New Roman" w:hAnsi="Cambria" w:cs="Times New Roman"/>
      <w:b/>
      <w:bCs/>
      <w:kern w:val="32"/>
      <w:sz w:val="32"/>
      <w:szCs w:val="32"/>
    </w:rPr>
  </w:style>
  <w:style w:type="paragraph" w:customStyle="1" w:styleId="Quick">
    <w:name w:val="Quick ·"/>
    <w:basedOn w:val="Normal"/>
    <w:rsid w:val="009C5A4B"/>
    <w:pPr>
      <w:widowControl w:val="0"/>
      <w:autoSpaceDE w:val="0"/>
      <w:autoSpaceDN w:val="0"/>
      <w:adjustRightInd w:val="0"/>
      <w:ind w:left="1440" w:hanging="720"/>
    </w:pPr>
  </w:style>
  <w:style w:type="paragraph" w:customStyle="1" w:styleId="Level1">
    <w:name w:val="Level 1"/>
    <w:basedOn w:val="Normal"/>
    <w:rsid w:val="009C5A4B"/>
    <w:pPr>
      <w:widowControl w:val="0"/>
      <w:autoSpaceDE w:val="0"/>
      <w:autoSpaceDN w:val="0"/>
      <w:adjustRightInd w:val="0"/>
      <w:ind w:left="720" w:hanging="720"/>
    </w:pPr>
  </w:style>
  <w:style w:type="character" w:styleId="PageNumber">
    <w:name w:val="page number"/>
    <w:basedOn w:val="DefaultParagraphFont"/>
    <w:rsid w:val="009C5A4B"/>
  </w:style>
  <w:style w:type="table" w:styleId="TableGrid">
    <w:name w:val="Table Grid"/>
    <w:basedOn w:val="TableNormal"/>
    <w:rsid w:val="009C5A4B"/>
    <w:pPr>
      <w:widowControl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
    <w:name w:val="Style"/>
    <w:basedOn w:val="Normal"/>
    <w:rsid w:val="009C5A4B"/>
    <w:pPr>
      <w:widowControl w:val="0"/>
      <w:autoSpaceDE w:val="0"/>
      <w:autoSpaceDN w:val="0"/>
      <w:adjustRightInd w:val="0"/>
      <w:ind w:left="720" w:hanging="720"/>
    </w:pPr>
  </w:style>
  <w:style w:type="paragraph" w:customStyle="1" w:styleId="Quick0">
    <w:name w:val="Quick _"/>
    <w:basedOn w:val="Normal"/>
    <w:rsid w:val="009C5A4B"/>
    <w:pPr>
      <w:widowControl w:val="0"/>
      <w:autoSpaceDE w:val="0"/>
      <w:autoSpaceDN w:val="0"/>
      <w:adjustRightInd w:val="0"/>
      <w:ind w:left="1440" w:hanging="720"/>
    </w:pPr>
  </w:style>
  <w:style w:type="paragraph" w:customStyle="1" w:styleId="Level2">
    <w:name w:val="Level 2"/>
    <w:basedOn w:val="Normal"/>
    <w:rsid w:val="009C5A4B"/>
    <w:pPr>
      <w:widowControl w:val="0"/>
      <w:autoSpaceDE w:val="0"/>
      <w:autoSpaceDN w:val="0"/>
      <w:adjustRightInd w:val="0"/>
      <w:ind w:left="1440" w:hanging="720"/>
    </w:pPr>
  </w:style>
  <w:style w:type="paragraph" w:customStyle="1" w:styleId="a">
    <w:name w:val="_"/>
    <w:basedOn w:val="Normal"/>
    <w:rsid w:val="009C5A4B"/>
    <w:pPr>
      <w:widowControl w:val="0"/>
      <w:autoSpaceDE w:val="0"/>
      <w:autoSpaceDN w:val="0"/>
      <w:adjustRightInd w:val="0"/>
      <w:ind w:left="720" w:hanging="720"/>
    </w:pPr>
  </w:style>
  <w:style w:type="character" w:styleId="FootnoteReference">
    <w:name w:val="footnote reference"/>
    <w:semiHidden/>
    <w:rsid w:val="009C5A4B"/>
  </w:style>
  <w:style w:type="paragraph" w:styleId="BalloonText">
    <w:name w:val="Balloon Text"/>
    <w:basedOn w:val="Normal"/>
    <w:link w:val="BalloonTextChar"/>
    <w:uiPriority w:val="99"/>
    <w:semiHidden/>
    <w:rsid w:val="009C5A4B"/>
    <w:rPr>
      <w:rFonts w:ascii="Tahoma" w:hAnsi="Tahoma" w:cs="Tahoma"/>
      <w:sz w:val="16"/>
      <w:szCs w:val="16"/>
    </w:rPr>
  </w:style>
  <w:style w:type="character" w:customStyle="1" w:styleId="BalloonTextChar">
    <w:name w:val="Balloon Text Char"/>
    <w:basedOn w:val="DefaultParagraphFont"/>
    <w:link w:val="BalloonText"/>
    <w:uiPriority w:val="99"/>
    <w:semiHidden/>
    <w:rsid w:val="009C5A4B"/>
    <w:rPr>
      <w:rFonts w:ascii="Tahoma" w:eastAsia="Times New Roman" w:hAnsi="Tahoma" w:cs="Tahoma"/>
      <w:sz w:val="16"/>
      <w:szCs w:val="16"/>
    </w:rPr>
  </w:style>
  <w:style w:type="character" w:styleId="Hyperlink">
    <w:name w:val="Hyperlink"/>
    <w:rsid w:val="009C5A4B"/>
    <w:rPr>
      <w:color w:val="0000FF"/>
      <w:u w:val="single"/>
    </w:rPr>
  </w:style>
  <w:style w:type="character" w:styleId="CommentReference">
    <w:name w:val="annotation reference"/>
    <w:semiHidden/>
    <w:rsid w:val="009C5A4B"/>
    <w:rPr>
      <w:sz w:val="16"/>
      <w:szCs w:val="16"/>
    </w:rPr>
  </w:style>
  <w:style w:type="paragraph" w:styleId="CommentText">
    <w:name w:val="annotation text"/>
    <w:basedOn w:val="Normal"/>
    <w:link w:val="CommentTextChar"/>
    <w:semiHidden/>
    <w:rsid w:val="009C5A4B"/>
    <w:rPr>
      <w:sz w:val="20"/>
      <w:szCs w:val="20"/>
    </w:rPr>
  </w:style>
  <w:style w:type="character" w:customStyle="1" w:styleId="CommentTextChar">
    <w:name w:val="Comment Text Char"/>
    <w:basedOn w:val="DefaultParagraphFont"/>
    <w:link w:val="CommentText"/>
    <w:semiHidden/>
    <w:rsid w:val="009C5A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9C5A4B"/>
    <w:rPr>
      <w:b/>
      <w:bCs/>
    </w:rPr>
  </w:style>
  <w:style w:type="character" w:customStyle="1" w:styleId="CommentSubjectChar">
    <w:name w:val="Comment Subject Char"/>
    <w:basedOn w:val="CommentTextChar"/>
    <w:link w:val="CommentSubject"/>
    <w:semiHidden/>
    <w:rsid w:val="009C5A4B"/>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9C5A4B"/>
    <w:pPr>
      <w:jc w:val="both"/>
    </w:pPr>
  </w:style>
  <w:style w:type="character" w:customStyle="1" w:styleId="BodyTextChar">
    <w:name w:val="Body Text Char"/>
    <w:basedOn w:val="DefaultParagraphFont"/>
    <w:link w:val="BodyText"/>
    <w:uiPriority w:val="1"/>
    <w:rsid w:val="009C5A4B"/>
    <w:rPr>
      <w:rFonts w:ascii="Times New Roman" w:eastAsia="Times New Roman" w:hAnsi="Times New Roman" w:cs="Times New Roman"/>
      <w:sz w:val="24"/>
      <w:szCs w:val="24"/>
    </w:rPr>
  </w:style>
  <w:style w:type="paragraph" w:styleId="BodyText2">
    <w:name w:val="Body Text 2"/>
    <w:basedOn w:val="Normal"/>
    <w:link w:val="BodyText2Char"/>
    <w:rsid w:val="009C5A4B"/>
    <w:pPr>
      <w:spacing w:after="120" w:line="480" w:lineRule="auto"/>
    </w:pPr>
  </w:style>
  <w:style w:type="character" w:customStyle="1" w:styleId="BodyText2Char">
    <w:name w:val="Body Text 2 Char"/>
    <w:basedOn w:val="DefaultParagraphFont"/>
    <w:link w:val="BodyText2"/>
    <w:rsid w:val="009C5A4B"/>
    <w:rPr>
      <w:rFonts w:ascii="Times New Roman" w:eastAsia="Times New Roman" w:hAnsi="Times New Roman" w:cs="Times New Roman"/>
      <w:sz w:val="24"/>
      <w:szCs w:val="24"/>
    </w:rPr>
  </w:style>
  <w:style w:type="character" w:customStyle="1" w:styleId="mw-headline">
    <w:name w:val="mw-headline"/>
    <w:basedOn w:val="DefaultParagraphFont"/>
    <w:rsid w:val="009C5A4B"/>
  </w:style>
  <w:style w:type="paragraph" w:styleId="ListParagraph">
    <w:name w:val="List Paragraph"/>
    <w:basedOn w:val="Normal"/>
    <w:uiPriority w:val="1"/>
    <w:qFormat/>
    <w:rsid w:val="009C5A4B"/>
    <w:pPr>
      <w:ind w:left="720"/>
    </w:pPr>
  </w:style>
  <w:style w:type="paragraph" w:styleId="BlockText">
    <w:name w:val="Block Text"/>
    <w:basedOn w:val="Normal"/>
    <w:unhideWhenUsed/>
    <w:rsid w:val="009C5A4B"/>
    <w:pPr>
      <w:widowControl w:val="0"/>
      <w:autoSpaceDE w:val="0"/>
      <w:autoSpaceDN w:val="0"/>
      <w:ind w:left="270" w:right="249"/>
      <w:jc w:val="both"/>
    </w:pPr>
    <w:rPr>
      <w:b/>
      <w:bCs/>
      <w:sz w:val="22"/>
      <w:szCs w:val="22"/>
    </w:rPr>
  </w:style>
  <w:style w:type="paragraph" w:styleId="BodyTextIndent">
    <w:name w:val="Body Text Indent"/>
    <w:basedOn w:val="Normal"/>
    <w:link w:val="BodyTextIndentChar"/>
    <w:rsid w:val="009C5A4B"/>
    <w:pPr>
      <w:spacing w:after="120"/>
      <w:ind w:left="360"/>
    </w:pPr>
  </w:style>
  <w:style w:type="character" w:customStyle="1" w:styleId="BodyTextIndentChar">
    <w:name w:val="Body Text Indent Char"/>
    <w:basedOn w:val="DefaultParagraphFont"/>
    <w:link w:val="BodyTextIndent"/>
    <w:rsid w:val="009C5A4B"/>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9C5A4B"/>
    <w:pPr>
      <w:spacing w:after="120" w:line="480" w:lineRule="auto"/>
      <w:ind w:left="360"/>
    </w:pPr>
  </w:style>
  <w:style w:type="character" w:customStyle="1" w:styleId="BodyTextIndent2Char">
    <w:name w:val="Body Text Indent 2 Char"/>
    <w:basedOn w:val="DefaultParagraphFont"/>
    <w:link w:val="BodyTextIndent2"/>
    <w:rsid w:val="009C5A4B"/>
    <w:rPr>
      <w:rFonts w:ascii="Times New Roman" w:eastAsia="Times New Roman" w:hAnsi="Times New Roman" w:cs="Times New Roman"/>
      <w:sz w:val="24"/>
      <w:szCs w:val="24"/>
    </w:rPr>
  </w:style>
  <w:style w:type="character" w:styleId="Strong">
    <w:name w:val="Strong"/>
    <w:qFormat/>
    <w:rsid w:val="009C5A4B"/>
    <w:rPr>
      <w:b/>
      <w:bCs/>
    </w:rPr>
  </w:style>
  <w:style w:type="paragraph" w:styleId="Subtitle">
    <w:name w:val="Subtitle"/>
    <w:basedOn w:val="Normal"/>
    <w:next w:val="Normal"/>
    <w:link w:val="SubtitleChar"/>
    <w:qFormat/>
    <w:rsid w:val="009C5A4B"/>
    <w:pPr>
      <w:spacing w:after="60"/>
      <w:jc w:val="center"/>
      <w:outlineLvl w:val="1"/>
    </w:pPr>
    <w:rPr>
      <w:rFonts w:ascii="Cambria" w:hAnsi="Cambria"/>
    </w:rPr>
  </w:style>
  <w:style w:type="character" w:customStyle="1" w:styleId="SubtitleChar">
    <w:name w:val="Subtitle Char"/>
    <w:basedOn w:val="DefaultParagraphFont"/>
    <w:link w:val="Subtitle"/>
    <w:rsid w:val="009C5A4B"/>
    <w:rPr>
      <w:rFonts w:ascii="Cambria" w:eastAsia="Times New Roman" w:hAnsi="Cambria" w:cs="Times New Roman"/>
      <w:sz w:val="24"/>
      <w:szCs w:val="24"/>
    </w:rPr>
  </w:style>
  <w:style w:type="paragraph" w:styleId="BodyText3">
    <w:name w:val="Body Text 3"/>
    <w:basedOn w:val="Normal"/>
    <w:link w:val="BodyText3Char"/>
    <w:rsid w:val="009C5A4B"/>
    <w:pPr>
      <w:spacing w:after="120"/>
    </w:pPr>
    <w:rPr>
      <w:sz w:val="16"/>
      <w:szCs w:val="16"/>
    </w:rPr>
  </w:style>
  <w:style w:type="character" w:customStyle="1" w:styleId="BodyText3Char">
    <w:name w:val="Body Text 3 Char"/>
    <w:basedOn w:val="DefaultParagraphFont"/>
    <w:link w:val="BodyText3"/>
    <w:rsid w:val="009C5A4B"/>
    <w:rPr>
      <w:rFonts w:ascii="Times New Roman" w:eastAsia="Times New Roman" w:hAnsi="Times New Roman" w:cs="Times New Roman"/>
      <w:sz w:val="16"/>
      <w:szCs w:val="16"/>
    </w:rPr>
  </w:style>
  <w:style w:type="paragraph" w:customStyle="1" w:styleId="Default">
    <w:name w:val="Default"/>
    <w:rsid w:val="009C5A4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Pa21">
    <w:name w:val="Pa2+1"/>
    <w:basedOn w:val="Default"/>
    <w:next w:val="Default"/>
    <w:uiPriority w:val="99"/>
    <w:rsid w:val="009C5A4B"/>
    <w:pPr>
      <w:spacing w:line="181" w:lineRule="atLeast"/>
    </w:pPr>
    <w:rPr>
      <w:rFonts w:ascii="ITC Giovanni Std Book" w:hAnsi="ITC Giovanni Std Book"/>
      <w:color w:val="auto"/>
    </w:rPr>
  </w:style>
  <w:style w:type="paragraph" w:styleId="NoSpacing">
    <w:name w:val="No Spacing"/>
    <w:uiPriority w:val="1"/>
    <w:qFormat/>
    <w:rsid w:val="009C5A4B"/>
    <w:pPr>
      <w:spacing w:after="0" w:line="240" w:lineRule="auto"/>
    </w:pPr>
    <w:rPr>
      <w:rFonts w:eastAsiaTheme="minorEastAsia"/>
    </w:rPr>
  </w:style>
  <w:style w:type="paragraph" w:styleId="Caption">
    <w:name w:val="caption"/>
    <w:basedOn w:val="Normal"/>
    <w:next w:val="Normal"/>
    <w:qFormat/>
    <w:rsid w:val="009C5A4B"/>
    <w:pPr>
      <w:ind w:left="360"/>
    </w:pPr>
    <w:rPr>
      <w:sz w:val="28"/>
    </w:rPr>
  </w:style>
  <w:style w:type="paragraph" w:customStyle="1" w:styleId="TableParagraph">
    <w:name w:val="Table Paragraph"/>
    <w:basedOn w:val="Normal"/>
    <w:uiPriority w:val="1"/>
    <w:qFormat/>
    <w:rsid w:val="009C5A4B"/>
    <w:pPr>
      <w:widowControl w:val="0"/>
    </w:pPr>
    <w:rPr>
      <w:rFonts w:asciiTheme="minorHAnsi" w:eastAsiaTheme="minorHAnsi" w:hAnsiTheme="minorHAnsi" w:cstheme="minorBidi"/>
      <w:sz w:val="22"/>
      <w:szCs w:val="22"/>
    </w:rPr>
  </w:style>
  <w:style w:type="character" w:customStyle="1" w:styleId="Heading6Char">
    <w:name w:val="Heading 6 Char"/>
    <w:basedOn w:val="DefaultParagraphFont"/>
    <w:link w:val="Heading6"/>
    <w:uiPriority w:val="9"/>
    <w:rsid w:val="00346162"/>
    <w:rPr>
      <w:rFonts w:ascii="Times New Roman" w:eastAsia="Times New Roman" w:hAnsi="Times New Roman" w:cs="Times New Roman"/>
      <w:w w:val="10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hyperlink" Target="http://www.whitehouse.gov/omb"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2690</Words>
  <Characters>15334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Bailey</dc:creator>
  <cp:keywords/>
  <dc:description/>
  <cp:lastModifiedBy>Bruce Bailey</cp:lastModifiedBy>
  <cp:revision>3</cp:revision>
  <dcterms:created xsi:type="dcterms:W3CDTF">2020-10-07T17:40:00Z</dcterms:created>
  <dcterms:modified xsi:type="dcterms:W3CDTF">2020-10-07T17:51:00Z</dcterms:modified>
</cp:coreProperties>
</file>