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Эффективность</w:t>
      </w:r>
      <w:r>
        <w:t xml:space="preserve"> </w:t>
      </w:r>
      <w:r>
        <w:t xml:space="preserve">рекламы</w:t>
      </w:r>
    </w:p>
    <w:p>
      <w:pPr>
        <w:pStyle w:val="Author"/>
      </w:pPr>
      <w:r>
        <w:t xml:space="preserve">Бекауов</w:t>
      </w:r>
      <w:r>
        <w:t xml:space="preserve"> </w:t>
      </w:r>
      <w:r>
        <w:t xml:space="preserve">Артур</w:t>
      </w:r>
      <w:r>
        <w:t xml:space="preserve"> </w:t>
      </w:r>
      <w:r>
        <w:t xml:space="preserve">Тимурович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математическую модель гармонического осциллятора.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Построить фазовый портрет гармонического осциллятора и решение уравнения</w:t>
      </w:r>
      <w:r>
        <w:t xml:space="preserve"> </w:t>
      </w:r>
      <w:r>
        <w:t xml:space="preserve">гармонического осциллятора для следующих случаев:</w:t>
      </w:r>
    </w:p>
    <w:p>
      <w:pPr>
        <w:numPr>
          <w:ilvl w:val="0"/>
          <w:numId w:val="1001"/>
        </w:numPr>
      </w:pPr>
      <w:r>
        <w:t xml:space="preserve">Колебания гармонического осциллятора без затуханий и без действий внешней</w:t>
      </w:r>
      <w:r>
        <w:t xml:space="preserve"> </w:t>
      </w:r>
      <w:r>
        <w:t xml:space="preserve">силы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3.5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1"/>
        </w:numPr>
      </w:pPr>
      <w:r>
        <w:t xml:space="preserve">Колебания гармонического осциллятора c затуханием и без действий внешней силы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11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11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2"/>
        </w:numPr>
      </w:pPr>
      <w:r>
        <w:t xml:space="preserve">Колебания гармонического осциллятора c затуханием и под действием внешней силы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12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  <m:r>
            <m:t>o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0.5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51</m:t>
            </m:r>
          </m:e>
        </m:d>
      </m:oMath>
      <w:r>
        <w:t xml:space="preserve"> </w:t>
      </w:r>
      <w:r>
        <w:t xml:space="preserve">(шаг 0.05)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.</m:t>
        </m:r>
      </m:oMath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Гармонические колебания — колебания, при которых физическая величина изменяется с течением времени по гармоническому (синусоидальному, косинусоидальному) закону.</w:t>
      </w:r>
    </w:p>
    <w:p>
      <w:pPr>
        <w:pStyle w:val="BodyText"/>
      </w:pPr>
      <w:r>
        <w:t xml:space="preserve">Уравнение гармонического колебания имеет вид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отклонение колеблющейся величины в текущий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от среднего за период значения (например, в кинематике — смещение, отклонение колеблющейся точки от положения равновесия);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амплитуда колебания, то есть максимальное за период отклонение колеблющейся величины от среднего за период значения, размерность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совпадает с размерностью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(радиан/с, градус/с) — циклическая частота, показывающая, на сколько радиан (градусов) изменяется фаза колебания за 1 с;</w:t>
      </w:r>
    </w:p>
    <w:p>
      <w:pPr>
        <w:pStyle w:val="BodyText"/>
      </w:pPr>
      <m:oMath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t</m:t>
            </m:r>
            <m:r>
              <m:rPr>
                <m:sty m:val="p"/>
              </m:rPr>
              <m:t>+</m:t>
            </m:r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φ</m:t>
        </m:r>
      </m:oMath>
      <w:r>
        <w:t xml:space="preserve"> </w:t>
      </w:r>
      <w:r>
        <w:t xml:space="preserve">(радиан, градус) — полная фаза колебания (сокращённо — фаза, не путать с начальной фазой);</w:t>
      </w:r>
    </w:p>
    <w:p>
      <w:pPr>
        <w:pStyle w:val="BodyText"/>
      </w:pPr>
      <m:oMath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(радиан, градус) — начальная фаза колебаний, которая определяет значение полной фазы колебания (и самой величины</w:t>
      </w:r>
      <w:r>
        <w:t xml:space="preserve"> </w:t>
      </w:r>
      <m:oMath>
        <m:r>
          <m:t>x</m:t>
        </m:r>
      </m:oMath>
      <w:r>
        <w:t xml:space="preserve">) в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Дифференциальное уравнение, описывающее гармонические колебания, имеет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22"/>
    <w:bookmarkStart w:id="5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1" w:name="Xedc8c4eb92fea1afa77bd57e929c4429b25b768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Модель колебаний гармонического осциллятора без затуханий и без действий внешней силы</w:t>
      </w:r>
    </w:p>
    <w:p>
      <w:pPr>
        <w:pStyle w:val="FirstParagraph"/>
      </w:pPr>
      <w:r>
        <w:t xml:space="preserve">Для начала реализуем эту модель на языке программирования Julia.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Задание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f1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NormalTok"/>
        </w:rPr>
        <w:t xml:space="preserve">problem1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(f1, u0, tspan, p1)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1) и его фазового портрета (рис. 2).</w:t>
      </w:r>
    </w:p>
    <w:p>
      <w:pPr>
        <w:pStyle w:val="CaptionedFigure"/>
      </w:pPr>
      <w:bookmarkStart w:id="26" w:name="fig:001"/>
      <w:r>
        <w:drawing>
          <wp:inline>
            <wp:extent cx="5334000" cy="3556000"/>
            <wp:effectExtent b="0" l="0" r="0" t="0"/>
            <wp:docPr descr="Рис. 1: Колебания гармонического осциллятора без затуханий и без действий внешней силы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Колебания гармонического осциллятора без затуханий и без действий внешней силы</w:t>
      </w:r>
    </w:p>
    <w:p>
      <w:pPr>
        <w:pStyle w:val="CaptionedFigure"/>
      </w:pPr>
      <w:bookmarkStart w:id="30" w:name="fig:002"/>
      <w:r>
        <w:drawing>
          <wp:inline>
            <wp:extent cx="5334000" cy="3556000"/>
            <wp:effectExtent b="0" l="0" r="0" t="0"/>
            <wp:docPr descr="Рис. 2: Фазовый портрет колебаний гармонического осциллятора без затуханий и без действий внешней силы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Фазовый портрет колебаний гармонического осциллятора без затуханий и без действий внешней силы</w:t>
      </w:r>
    </w:p>
    <w:p>
      <w:pPr>
        <w:pStyle w:val="BodyText"/>
      </w:pPr>
      <w:r>
        <w:t xml:space="preserve">Можно заметить, что колебание осциллятора периодично, график не затухает.</w:t>
      </w:r>
    </w:p>
    <w:bookmarkEnd w:id="31"/>
    <w:bookmarkStart w:id="40" w:name="X3a29bc0fb2cc85e3970903b20ac2fa46b40140c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Модель колебаний гармонического осциллятора c затуханием и без действий внешней силы</w:t>
      </w:r>
    </w:p>
    <w:p>
      <w:pPr>
        <w:pStyle w:val="FirstParagraph"/>
      </w:pPr>
      <w:r>
        <w:t xml:space="preserve">Реализуем эту модель на языке программирования Julia.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Задание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f1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NormalTok"/>
        </w:rPr>
        <w:t xml:space="preserve">problem2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(f1, u0, tspan, p2)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3) и его фазового портрета (рис. 4).</w:t>
      </w:r>
    </w:p>
    <w:p>
      <w:pPr>
        <w:pStyle w:val="CaptionedFigure"/>
      </w:pPr>
      <w:bookmarkStart w:id="35" w:name="fig:005"/>
      <w:r>
        <w:drawing>
          <wp:inline>
            <wp:extent cx="5334000" cy="3556000"/>
            <wp:effectExtent b="0" l="0" r="0" t="0"/>
            <wp:docPr descr="Рис. 3: Колебания гармонического осциллятора с затуханием и без действий внешней силы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Колебания гармонического осциллятора с затуханием и без действий внешней силы</w:t>
      </w:r>
    </w:p>
    <w:p>
      <w:pPr>
        <w:pStyle w:val="CaptionedFigure"/>
      </w:pPr>
      <w:bookmarkStart w:id="39" w:name="fig:006"/>
      <w:r>
        <w:drawing>
          <wp:inline>
            <wp:extent cx="5334000" cy="3556000"/>
            <wp:effectExtent b="0" l="0" r="0" t="0"/>
            <wp:docPr descr="Рис. 4: Фазовый портрет колебаний гармонического осциллятора с затуханием и без действий внешней силы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Фазовый портрет колебаний гармонического осциллятора с затуханием и без действий внешней силы</w:t>
      </w:r>
    </w:p>
    <w:p>
      <w:pPr>
        <w:pStyle w:val="BodyText"/>
      </w:pPr>
      <w:r>
        <w:t xml:space="preserve">В этом случае сначала происходят колебания осциллятора, а затем график затухает, поскольку у нас есть параметр, отвечающий за потери энергии.</w:t>
      </w:r>
    </w:p>
    <w:bookmarkEnd w:id="40"/>
    <w:bookmarkStart w:id="49" w:name="Xd0f97da544f5b5587a54e1d0f761558fce8d0ac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Модель колебаний гармонического осциллятора c затуханием и под действием внешней силы</w:t>
      </w:r>
    </w:p>
    <w:p>
      <w:pPr>
        <w:pStyle w:val="FirstParagraph"/>
      </w:pPr>
      <w:r>
        <w:t xml:space="preserve">Реализуем эту модель на языке программирования Julia.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Функция, описывающая внешние силы, действующие на осциллятор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FunctionTok"/>
        </w:rPr>
        <w:t xml:space="preserve">*cos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CommentTok"/>
        </w:rPr>
        <w:t xml:space="preserve"># Задание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f2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.+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NormalTok"/>
        </w:rPr>
        <w:t xml:space="preserve">problem3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(f2, u0, tspan, p3)</w:t>
      </w:r>
      <w:r>
        <w:br/>
      </w:r>
      <w:r>
        <w:rPr>
          <w:rStyle w:val="NormalTok"/>
        </w:rPr>
        <w:t xml:space="preserve">sol3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(problem3,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5) и его фазового портрета (рис. 6).</w:t>
      </w:r>
    </w:p>
    <w:p>
      <w:pPr>
        <w:pStyle w:val="CaptionedFigure"/>
      </w:pPr>
      <w:bookmarkStart w:id="44" w:name="fig:009"/>
      <w:r>
        <w:drawing>
          <wp:inline>
            <wp:extent cx="5334000" cy="3556000"/>
            <wp:effectExtent b="0" l="0" r="0" t="0"/>
            <wp:docPr descr="Рис. 5: Колебания гармонического осциллятора с затуханием и под действием внешней силы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Колебания гармонического осциллятора с затуханием и под действием внешней силы</w:t>
      </w:r>
    </w:p>
    <w:p>
      <w:pPr>
        <w:pStyle w:val="CaptionedFigure"/>
      </w:pPr>
      <w:bookmarkStart w:id="48" w:name="fig:010"/>
      <w:r>
        <w:drawing>
          <wp:inline>
            <wp:extent cx="5334000" cy="3556000"/>
            <wp:effectExtent b="0" l="0" r="0" t="0"/>
            <wp:docPr descr="Рис. 6: Фазовый портрет колебаний гармонического осциллятора с затуханием и под действием внешней силы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6: Фазовый портрет колебаний гармонического осциллятора с затуханием и под действием внешней силы</w:t>
      </w:r>
    </w:p>
    <w:bookmarkEnd w:id="49"/>
    <w:bookmarkEnd w:id="50"/>
    <w:bookmarkStart w:id="5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построил математическую модель гармонического осциллятора.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Бекауов Артур Тимурович</dc:creator>
  <dc:language>ru-RU</dc:language>
  <cp:keywords/>
  <dcterms:created xsi:type="dcterms:W3CDTF">2026-05-16T12:05:58Z</dcterms:created>
  <dcterms:modified xsi:type="dcterms:W3CDTF">2026-05-16T12:05:58Z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">
    <vt:lpwstr>True</vt:lpwstr>
  </property>
  <property fmtid="{D5CDD505-2E9C-101B-9397-08002B2CF9AE}" pid="40" name="lofTitle">
    <vt:lpwstr>Список иллюстраций</vt:lpwstr>
  </property>
  <property fmtid="{D5CDD505-2E9C-101B-9397-08002B2CF9AE}" pid="41" name="lolTitle">
    <vt:lpwstr>Листинги</vt:lpwstr>
  </property>
  <property fmtid="{D5CDD505-2E9C-101B-9397-08002B2CF9AE}" pid="42" name="lot">
    <vt:lpwstr>False</vt:lpwstr>
  </property>
  <property fmtid="{D5CDD505-2E9C-101B-9397-08002B2CF9AE}" pid="43" name="lotTitle">
    <vt:lpwstr>Список таблиц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mainfont">
    <vt:lpwstr>PT Serif</vt:lpwstr>
  </property>
  <property fmtid="{D5CDD505-2E9C-101B-9397-08002B2CF9AE}" pid="48" name="mainfontoptions">
    <vt:lpwstr>Ligatures=TeX</vt:lpwstr>
  </property>
  <property fmtid="{D5CDD505-2E9C-101B-9397-08002B2CF9AE}" pid="49" name="monofont">
    <vt:lpwstr>PT Mono</vt:lpwstr>
  </property>
  <property fmtid="{D5CDD505-2E9C-101B-9397-08002B2CF9AE}" pid="50" name="monofontoptions">
    <vt:lpwstr>Scale=MatchLowercase,Scale=0.9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papersize">
    <vt:lpwstr>a4</vt:lpwstr>
  </property>
  <property fmtid="{D5CDD505-2E9C-101B-9397-08002B2CF9AE}" pid="55" name="polyglossia-lang">
    <vt:lpwstr/>
  </property>
  <property fmtid="{D5CDD505-2E9C-101B-9397-08002B2CF9AE}" pid="56" name="polyglossia-otherlangs">
    <vt:lpwstr/>
  </property>
  <property fmtid="{D5CDD505-2E9C-101B-9397-08002B2CF9AE}" pid="57" name="rangeDelim">
    <vt:lpwstr>-</vt:lpwstr>
  </property>
  <property fmtid="{D5CDD505-2E9C-101B-9397-08002B2CF9AE}" pid="58" name="refDelim">
    <vt:lpwstr>, </vt:lpwstr>
  </property>
  <property fmtid="{D5CDD505-2E9C-101B-9397-08002B2CF9AE}" pid="59" name="refIndexTemplate">
    <vt:lpwstr>isuf</vt:lpwstr>
  </property>
  <property fmtid="{D5CDD505-2E9C-101B-9397-08002B2CF9AE}" pid="60" name="romanfont">
    <vt:lpwstr>PT Serif</vt:lpwstr>
  </property>
  <property fmtid="{D5CDD505-2E9C-101B-9397-08002B2CF9AE}" pid="61" name="romanfontoptions">
    <vt:lpwstr>Ligatures=TeX</vt:lpwstr>
  </property>
  <property fmtid="{D5CDD505-2E9C-101B-9397-08002B2CF9AE}" pid="62" name="sansfont">
    <vt:lpwstr>PT Sans</vt:lpwstr>
  </property>
  <property fmtid="{D5CDD505-2E9C-101B-9397-08002B2CF9AE}" pid="63" name="sansfontoptions">
    <vt:lpwstr>Ligatures=TeX,Scale=MatchLowercase</vt:lpwstr>
  </property>
  <property fmtid="{D5CDD505-2E9C-101B-9397-08002B2CF9AE}" pid="64" name="secHeaderDelim">
    <vt:lpwstr> </vt:lpwstr>
  </property>
  <property fmtid="{D5CDD505-2E9C-101B-9397-08002B2CF9AE}" pid="65" name="secHeaderTemplate">
    <vt:lpwstr>isecHeaderDelim[n]t</vt:lpwstr>
  </property>
  <property fmtid="{D5CDD505-2E9C-101B-9397-08002B2CF9AE}" pid="66" name="secLabels">
    <vt:lpwstr>arabic</vt:lpwstr>
  </property>
  <property fmtid="{D5CDD505-2E9C-101B-9397-08002B2CF9AE}" pid="67" name="secPrefix">
    <vt:lpwstr/>
  </property>
  <property fmtid="{D5CDD505-2E9C-101B-9397-08002B2CF9AE}" pid="68" name="secPrefixTemplate">
    <vt:lpwstr>p i</vt:lpwstr>
  </property>
  <property fmtid="{D5CDD505-2E9C-101B-9397-08002B2CF9AE}" pid="69" name="sectionsDepth">
    <vt:lpwstr>0</vt:lpwstr>
  </property>
  <property fmtid="{D5CDD505-2E9C-101B-9397-08002B2CF9AE}" pid="70" name="subfigGrid">
    <vt:lpwstr>False</vt:lpwstr>
  </property>
  <property fmtid="{D5CDD505-2E9C-101B-9397-08002B2CF9AE}" pid="71" name="subfigLabels">
    <vt:lpwstr>alpha a</vt:lpwstr>
  </property>
  <property fmtid="{D5CDD505-2E9C-101B-9397-08002B2CF9AE}" pid="72" name="subfigureChildTemplate">
    <vt:lpwstr>i</vt:lpwstr>
  </property>
  <property fmtid="{D5CDD505-2E9C-101B-9397-08002B2CF9AE}" pid="73" name="subfigureRefIndexTemplate">
    <vt:lpwstr>isuf (s)</vt:lpwstr>
  </property>
  <property fmtid="{D5CDD505-2E9C-101B-9397-08002B2CF9AE}" pid="74" name="subfigureTemplate">
    <vt:lpwstr>figureTitle ititleDelim t. ccs</vt:lpwstr>
  </property>
  <property fmtid="{D5CDD505-2E9C-101B-9397-08002B2CF9AE}" pid="75" name="subtitle">
    <vt:lpwstr>Эффективность рекламы</vt:lpwstr>
  </property>
  <property fmtid="{D5CDD505-2E9C-101B-9397-08002B2CF9AE}" pid="76" name="tableEqns">
    <vt:lpwstr>False</vt:lpwstr>
  </property>
  <property fmtid="{D5CDD505-2E9C-101B-9397-08002B2CF9AE}" pid="77" name="tableTemplate">
    <vt:lpwstr>tableTitle ititleDelim t</vt:lpwstr>
  </property>
  <property fmtid="{D5CDD505-2E9C-101B-9397-08002B2CF9AE}" pid="78" name="tableTitle">
    <vt:lpwstr>Таблица</vt:lpwstr>
  </property>
  <property fmtid="{D5CDD505-2E9C-101B-9397-08002B2CF9AE}" pid="79" name="tblLabels">
    <vt:lpwstr>arabic</vt:lpwstr>
  </property>
  <property fmtid="{D5CDD505-2E9C-101B-9397-08002B2CF9AE}" pid="80" name="tblPrefix">
    <vt:lpwstr/>
  </property>
  <property fmtid="{D5CDD505-2E9C-101B-9397-08002B2CF9AE}" pid="81" name="tblPrefixTemplate">
    <vt:lpwstr>p i</vt:lpwstr>
  </property>
  <property fmtid="{D5CDD505-2E9C-101B-9397-08002B2CF9AE}" pid="82" name="titleDelim">
    <vt:lpwstr>:</vt:lpwstr>
  </property>
  <property fmtid="{D5CDD505-2E9C-101B-9397-08002B2CF9AE}" pid="83" name="toc">
    <vt:lpwstr>True</vt:lpwstr>
  </property>
  <property fmtid="{D5CDD505-2E9C-101B-9397-08002B2CF9AE}" pid="84" name="toc-depth">
    <vt:lpwstr>2</vt:lpwstr>
  </property>
  <property fmtid="{D5CDD505-2E9C-101B-9397-08002B2CF9AE}" pid="85" name="toc-title">
    <vt:lpwstr>Содержание</vt:lpwstr>
  </property>
</Properties>
</file>