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Бекауов</w:t>
      </w:r>
      <w:r>
        <w:t xml:space="preserve"> </w:t>
      </w:r>
      <w:r>
        <w:t xml:space="preserve">Артур</w:t>
      </w:r>
      <w:r>
        <w:t xml:space="preserve"> </w:t>
      </w:r>
      <w:r>
        <w:t xml:space="preserve">Тимурович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лабораторной работы - получение практических навыков работы в консоли с атрибутами файлов для групп пользователей.</w:t>
      </w:r>
    </w:p>
    <w:bookmarkEnd w:id="20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Учётная запись guest уже была создана во 2-ой лабораторной работе, потому создаю пользователя guest2, и задаю ему пароль (рис. 1).</w:t>
      </w:r>
    </w:p>
    <w:p>
      <w:pPr>
        <w:pStyle w:val="CaptionedFigure"/>
      </w:pPr>
      <w:bookmarkStart w:id="24" w:name="fig:001"/>
      <w:r>
        <w:drawing>
          <wp:inline>
            <wp:extent cx="5334000" cy="1508385"/>
            <wp:effectExtent b="0" l="0" r="0" t="0"/>
            <wp:docPr descr="Рис. 1: Создание пользователя guest2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8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Создание пользователя guest2</w:t>
      </w:r>
    </w:p>
    <w:p>
      <w:pPr>
        <w:pStyle w:val="BodyText"/>
      </w:pPr>
      <w:r>
        <w:t xml:space="preserve">Далее добавляю пользователя guest2 в группу guest.(рис. 2).</w:t>
      </w:r>
    </w:p>
    <w:p>
      <w:pPr>
        <w:pStyle w:val="CaptionedFigure"/>
      </w:pPr>
      <w:bookmarkStart w:id="28" w:name="fig:002"/>
      <w:r>
        <w:drawing>
          <wp:inline>
            <wp:extent cx="5334000" cy="973715"/>
            <wp:effectExtent b="0" l="0" r="0" t="0"/>
            <wp:docPr descr="Рис. 2: Добавление пользователя в группу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3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Добавление пользователя в группу</w:t>
      </w:r>
    </w:p>
    <w:p>
      <w:pPr>
        <w:pStyle w:val="BodyText"/>
      </w:pPr>
      <w:r>
        <w:t xml:space="preserve">Затем в терминальном окне захожу в пользователя guest и сразу проверяю в какой директории нахожусь с помощью команды pwd. Нахожусь в домашней директории пользователя guest(рис. 3).</w:t>
      </w:r>
    </w:p>
    <w:p>
      <w:pPr>
        <w:pStyle w:val="CaptionedFigure"/>
      </w:pPr>
      <w:bookmarkStart w:id="32" w:name="fig:003"/>
      <w:r>
        <w:drawing>
          <wp:inline>
            <wp:extent cx="5334000" cy="1209039"/>
            <wp:effectExtent b="0" l="0" r="0" t="0"/>
            <wp:docPr descr="Рис. 3: Вход в guest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9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Вход в guest</w:t>
      </w:r>
    </w:p>
    <w:p>
      <w:pPr>
        <w:pStyle w:val="BodyText"/>
      </w:pPr>
      <w:r>
        <w:t xml:space="preserve">Открываю новое окно терминала и проделываю всё то же самое для пользователя guest2. Каталог соответственно - домашняя папка guest2 (рис. 4).</w:t>
      </w:r>
    </w:p>
    <w:p>
      <w:pPr>
        <w:pStyle w:val="CaptionedFigure"/>
      </w:pPr>
      <w:bookmarkStart w:id="36" w:name="fig:004"/>
      <w:r>
        <w:drawing>
          <wp:inline>
            <wp:extent cx="5334000" cy="1257828"/>
            <wp:effectExtent b="0" l="0" r="0" t="0"/>
            <wp:docPr descr="Рис. 4: Вход в guest2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7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Вход в guest2</w:t>
      </w:r>
    </w:p>
    <w:p>
      <w:pPr>
        <w:pStyle w:val="BodyText"/>
      </w:pPr>
      <w:r>
        <w:t xml:space="preserve">За пользователя guest проверяю имя пользователя и группы, к которым он принадлежит. Вижу, что имя пользователя - guest, принадлежит он к единственной группе - guest(1001). (рис. 5).</w:t>
      </w:r>
    </w:p>
    <w:p>
      <w:pPr>
        <w:pStyle w:val="CaptionedFigure"/>
      </w:pPr>
      <w:bookmarkStart w:id="40" w:name="fig:005"/>
      <w:r>
        <w:drawing>
          <wp:inline>
            <wp:extent cx="5334000" cy="1993049"/>
            <wp:effectExtent b="0" l="0" r="0" t="0"/>
            <wp:docPr descr="Рис. 5: Группы пользователя guest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3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Группы пользователя guest</w:t>
      </w:r>
    </w:p>
    <w:p>
      <w:pPr>
        <w:pStyle w:val="BodyText"/>
      </w:pPr>
      <w:r>
        <w:t xml:space="preserve">Проделываю всё то же за пользователя guest2. Имя - guest2; группы - guest(1001), guest2(1002). (рис. 6).</w:t>
      </w:r>
    </w:p>
    <w:p>
      <w:pPr>
        <w:pStyle w:val="CaptionedFigure"/>
      </w:pPr>
      <w:bookmarkStart w:id="44" w:name="fig:006"/>
      <w:r>
        <w:drawing>
          <wp:inline>
            <wp:extent cx="5334000" cy="2218944"/>
            <wp:effectExtent b="0" l="0" r="0" t="0"/>
            <wp:docPr descr="Рис. 6: Группы пользователя guest2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Группы пользователя guest2</w:t>
      </w:r>
    </w:p>
    <w:p>
      <w:pPr>
        <w:pStyle w:val="BodyText"/>
      </w:pPr>
      <w:r>
        <w:t xml:space="preserve">С помощью команды cat /etc/groups проверяю, что написано в /etc/groups. Вижу, что в группе guest(1001) присутствует пользователь guest2 (помимо естественно guest). (рис. 7).</w:t>
      </w:r>
    </w:p>
    <w:p>
      <w:pPr>
        <w:pStyle w:val="CaptionedFigure"/>
      </w:pPr>
      <w:bookmarkStart w:id="48" w:name="fig:007"/>
      <w:r>
        <w:drawing>
          <wp:inline>
            <wp:extent cx="5334000" cy="1249649"/>
            <wp:effectExtent b="0" l="0" r="0" t="0"/>
            <wp:docPr descr="Рис. 7: Вывод команды cat /etc/groups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9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Вывод команды cat /etc/groups</w:t>
      </w:r>
    </w:p>
    <w:p>
      <w:pPr>
        <w:pStyle w:val="BodyText"/>
      </w:pPr>
      <w:r>
        <w:t xml:space="preserve">От имени пользователя guest2 выполню регистрацию пользователя guest 2 в группе group (командой newgrp guest). (рис. 8).</w:t>
      </w:r>
    </w:p>
    <w:p>
      <w:pPr>
        <w:pStyle w:val="CaptionedFigure"/>
      </w:pPr>
      <w:bookmarkStart w:id="52" w:name="fig:008"/>
      <w:r>
        <w:drawing>
          <wp:inline>
            <wp:extent cx="5334000" cy="1168638"/>
            <wp:effectExtent b="0" l="0" r="0" t="0"/>
            <wp:docPr descr="Рис. 8: Регистрация пользователя в группе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8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Регистрация пользователя в группе</w:t>
      </w:r>
    </w:p>
    <w:p>
      <w:pPr>
        <w:pStyle w:val="BodyText"/>
      </w:pPr>
      <w:r>
        <w:t xml:space="preserve">Далее от имени guest, предоставляю группе все права на директорию /home/guest, а затем отбираю все права (у всех) на директорию dir1. Проверяю с помощью команды ls. (рис. 9).</w:t>
      </w:r>
    </w:p>
    <w:p>
      <w:pPr>
        <w:pStyle w:val="CaptionedFigure"/>
      </w:pPr>
      <w:bookmarkStart w:id="56" w:name="fig:009"/>
      <w:r>
        <w:drawing>
          <wp:inline>
            <wp:extent cx="5334000" cy="2124783"/>
            <wp:effectExtent b="0" l="0" r="0" t="0"/>
            <wp:docPr descr="Рис. 9: Изменения прав доступа к /home/guest и dir1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Изменения прав доступа к /home/guest и dir1</w:t>
      </w:r>
    </w:p>
    <w:p>
      <w:pPr>
        <w:pStyle w:val="BodyText"/>
      </w:pPr>
      <w:r>
        <w:t xml:space="preserve">Далее заполню таблицу 1, о влиянии атрибутов на возможность пользователей группы взамодействовать с файлами и директориями. (рис. 10, 11)</w:t>
      </w:r>
    </w:p>
    <w:p>
      <w:pPr>
        <w:pStyle w:val="CaptionedFigure"/>
      </w:pPr>
      <w:bookmarkStart w:id="60" w:name="fig:011"/>
      <w:r>
        <w:drawing>
          <wp:inline>
            <wp:extent cx="5334000" cy="2417813"/>
            <wp:effectExtent b="0" l="0" r="0" t="0"/>
            <wp:docPr descr="Рис. 10: Таблица 1(1)" title="" id="58" name="Picture"/>
            <a:graphic>
              <a:graphicData uri="http://schemas.openxmlformats.org/drawingml/2006/picture">
                <pic:pic>
                  <pic:nvPicPr>
                    <pic:cNvPr descr="image/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7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Таблица 1(1)</w:t>
      </w:r>
    </w:p>
    <w:p>
      <w:pPr>
        <w:pStyle w:val="CaptionedFigure"/>
      </w:pPr>
      <w:bookmarkStart w:id="64" w:name="fig:012"/>
      <w:r>
        <w:drawing>
          <wp:inline>
            <wp:extent cx="5334000" cy="2417813"/>
            <wp:effectExtent b="0" l="0" r="0" t="0"/>
            <wp:docPr descr="Рис. 11: Таблица 1(2)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7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Таблица 1(2)</w:t>
      </w:r>
    </w:p>
    <w:p>
      <w:pPr>
        <w:pStyle w:val="BodyText"/>
      </w:pPr>
      <w:r>
        <w:t xml:space="preserve">Затем заполню таблицу 2 о минимальных правах, необходимых для совершения операций. (рис. 12).</w:t>
      </w:r>
    </w:p>
    <w:p>
      <w:pPr>
        <w:pStyle w:val="CaptionedFigure"/>
      </w:pPr>
      <w:bookmarkStart w:id="68" w:name="fig:013"/>
      <w:r>
        <w:drawing>
          <wp:inline>
            <wp:extent cx="5334000" cy="1797538"/>
            <wp:effectExtent b="0" l="0" r="0" t="0"/>
            <wp:docPr descr="Рис. 12: Таблица 2" title="" id="66" name="Picture"/>
            <a:graphic>
              <a:graphicData uri="http://schemas.openxmlformats.org/drawingml/2006/picture">
                <pic:pic>
                  <pic:nvPicPr>
                    <pic:cNvPr descr="image/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7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Таблица 2</w:t>
      </w:r>
    </w:p>
    <w:bookmarkEnd w:id="69"/>
    <w:bookmarkStart w:id="7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лаботраторной работы я получил практические навыки работы в консоли с атрибутами файлов для групп пользователей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Бекауов Артур Тимурович</dc:creator>
  <dc:language>ru-RU</dc:language>
  <cp:keywords/>
  <dcterms:created xsi:type="dcterms:W3CDTF">2025-03-18T10:04:09Z</dcterms:created>
  <dcterms:modified xsi:type="dcterms:W3CDTF">2025-03-18T10:04:09Z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True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True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PT Serif</vt:lpwstr>
  </property>
  <property fmtid="{D5CDD505-2E9C-101B-9397-08002B2CF9AE}" pid="48" name="mainfontoptions">
    <vt:lpwstr>Ligatures=TeX</vt:lpwstr>
  </property>
  <property fmtid="{D5CDD505-2E9C-101B-9397-08002B2CF9AE}" pid="49" name="monofont">
    <vt:lpwstr>PT Mono</vt:lpwstr>
  </property>
  <property fmtid="{D5CDD505-2E9C-101B-9397-08002B2CF9AE}" pid="50" name="monofontoptions">
    <vt:lpwstr>Scale=MatchLowercase,Scale=0.9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papersize">
    <vt:lpwstr>a4</vt:lpwstr>
  </property>
  <property fmtid="{D5CDD505-2E9C-101B-9397-08002B2CF9AE}" pid="55" name="polyglossia-lang">
    <vt:lpwstr/>
  </property>
  <property fmtid="{D5CDD505-2E9C-101B-9397-08002B2CF9AE}" pid="56" name="polyglossia-otherlangs">
    <vt:lpwstr/>
  </property>
  <property fmtid="{D5CDD505-2E9C-101B-9397-08002B2CF9AE}" pid="57" name="rangeDelim">
    <vt:lpwstr>-</vt:lpwstr>
  </property>
  <property fmtid="{D5CDD505-2E9C-101B-9397-08002B2CF9AE}" pid="58" name="refDelim">
    <vt:lpwstr>, </vt:lpwstr>
  </property>
  <property fmtid="{D5CDD505-2E9C-101B-9397-08002B2CF9AE}" pid="59" name="refIndexTemplate">
    <vt:lpwstr>isuf</vt:lpwstr>
  </property>
  <property fmtid="{D5CDD505-2E9C-101B-9397-08002B2CF9AE}" pid="60" name="romanfont">
    <vt:lpwstr>PT Serif</vt:lpwstr>
  </property>
  <property fmtid="{D5CDD505-2E9C-101B-9397-08002B2CF9AE}" pid="61" name="romanfontoptions">
    <vt:lpwstr>Ligatures=TeX</vt:lpwstr>
  </property>
  <property fmtid="{D5CDD505-2E9C-101B-9397-08002B2CF9AE}" pid="62" name="sansfont">
    <vt:lpwstr>PT Sans</vt:lpwstr>
  </property>
  <property fmtid="{D5CDD505-2E9C-101B-9397-08002B2CF9AE}" pid="63" name="sansfontoptions">
    <vt:lpwstr>Ligatures=TeX,Scale=MatchLowercase</vt:lpwstr>
  </property>
  <property fmtid="{D5CDD505-2E9C-101B-9397-08002B2CF9AE}" pid="64" name="secHeaderDelim">
    <vt:lpwstr> </vt:lpwstr>
  </property>
  <property fmtid="{D5CDD505-2E9C-101B-9397-08002B2CF9AE}" pid="65" name="secHeaderTemplate">
    <vt:lpwstr>isecHeaderDelim[n]t</vt:lpwstr>
  </property>
  <property fmtid="{D5CDD505-2E9C-101B-9397-08002B2CF9AE}" pid="66" name="secLabels">
    <vt:lpwstr>arabic</vt:lpwstr>
  </property>
  <property fmtid="{D5CDD505-2E9C-101B-9397-08002B2CF9AE}" pid="67" name="secPrefix">
    <vt:lpwstr/>
  </property>
  <property fmtid="{D5CDD505-2E9C-101B-9397-08002B2CF9AE}" pid="68" name="secPrefixTemplate">
    <vt:lpwstr>p i</vt:lpwstr>
  </property>
  <property fmtid="{D5CDD505-2E9C-101B-9397-08002B2CF9AE}" pid="69" name="sectionsDepth">
    <vt:lpwstr>0</vt:lpwstr>
  </property>
  <property fmtid="{D5CDD505-2E9C-101B-9397-08002B2CF9AE}" pid="70" name="subfigGrid">
    <vt:lpwstr>False</vt:lpwstr>
  </property>
  <property fmtid="{D5CDD505-2E9C-101B-9397-08002B2CF9AE}" pid="71" name="subfigLabels">
    <vt:lpwstr>alpha a</vt:lpwstr>
  </property>
  <property fmtid="{D5CDD505-2E9C-101B-9397-08002B2CF9AE}" pid="72" name="subfigureChildTemplate">
    <vt:lpwstr>i</vt:lpwstr>
  </property>
  <property fmtid="{D5CDD505-2E9C-101B-9397-08002B2CF9AE}" pid="73" name="subfigureRefIndexTemplate">
    <vt:lpwstr>isuf (s)</vt:lpwstr>
  </property>
  <property fmtid="{D5CDD505-2E9C-101B-9397-08002B2CF9AE}" pid="74" name="subfigureTemplate">
    <vt:lpwstr>figureTitle ititleDelim t. ccs</vt:lpwstr>
  </property>
  <property fmtid="{D5CDD505-2E9C-101B-9397-08002B2CF9AE}" pid="75" name="subtitle">
    <vt:lpwstr>Основы информационной безопасности</vt:lpwstr>
  </property>
  <property fmtid="{D5CDD505-2E9C-101B-9397-08002B2CF9AE}" pid="76" name="tableEqns">
    <vt:lpwstr>False</vt:lpwstr>
  </property>
  <property fmtid="{D5CDD505-2E9C-101B-9397-08002B2CF9AE}" pid="77" name="tableTemplate">
    <vt:lpwstr>tableTitle ititleDelim t</vt:lpwstr>
  </property>
  <property fmtid="{D5CDD505-2E9C-101B-9397-08002B2CF9AE}" pid="78" name="tableTitle">
    <vt:lpwstr>Таблица</vt:lpwstr>
  </property>
  <property fmtid="{D5CDD505-2E9C-101B-9397-08002B2CF9AE}" pid="79" name="tblLabels">
    <vt:lpwstr>arabic</vt:lpwstr>
  </property>
  <property fmtid="{D5CDD505-2E9C-101B-9397-08002B2CF9AE}" pid="80" name="tblPrefix">
    <vt:lpwstr/>
  </property>
  <property fmtid="{D5CDD505-2E9C-101B-9397-08002B2CF9AE}" pid="81" name="tblPrefixTemplate">
    <vt:lpwstr>p i</vt:lpwstr>
  </property>
  <property fmtid="{D5CDD505-2E9C-101B-9397-08002B2CF9AE}" pid="82" name="titleDelim">
    <vt:lpwstr>:</vt:lpwstr>
  </property>
  <property fmtid="{D5CDD505-2E9C-101B-9397-08002B2CF9AE}" pid="83" name="toc">
    <vt:lpwstr>True</vt:lpwstr>
  </property>
  <property fmtid="{D5CDD505-2E9C-101B-9397-08002B2CF9AE}" pid="84" name="toc-depth">
    <vt:lpwstr>2</vt:lpwstr>
  </property>
  <property fmtid="{D5CDD505-2E9C-101B-9397-08002B2CF9AE}" pid="85" name="toc-title">
    <vt:lpwstr>Содержание</vt:lpwstr>
  </property>
</Properties>
</file>