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Бекауов</w:t>
      </w:r>
      <w:r>
        <w:t xml:space="preserve"> </w:t>
      </w:r>
      <w:r>
        <w:t xml:space="preserve">Артур</w:t>
      </w:r>
      <w:r>
        <w:t xml:space="preserve"> </w:t>
      </w:r>
      <w:r>
        <w:t xml:space="preserve">Тимурович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лабораторной работы - получение практических навыков работы в консоли с расширенными атрибутами файлов.</w:t>
      </w:r>
    </w:p>
    <w:bookmarkEnd w:id="20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 имени пользователя guest определим расширенные атрибуты файла dir1/file1. Затем командой chmod на файл file 1 устанавливаю права разрешающие чтение и запись для владельца файла. (рис. 1).</w:t>
      </w:r>
    </w:p>
    <w:p>
      <w:pPr>
        <w:pStyle w:val="CaptionedFigure"/>
      </w:pPr>
      <w:bookmarkStart w:id="24" w:name="fig:001"/>
      <w:r>
        <w:drawing>
          <wp:inline>
            <wp:extent cx="5334000" cy="1565523"/>
            <wp:effectExtent b="0" l="0" r="0" t="0"/>
            <wp:docPr descr="Рис. 1: Редактирование прав file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5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Редактирование прав file1</w:t>
      </w:r>
    </w:p>
    <w:p>
      <w:pPr>
        <w:pStyle w:val="BodyText"/>
      </w:pPr>
      <w:r>
        <w:t xml:space="preserve">Далее попытаюсь изменить расширенные атрибуты file1 от имени пользователя guest. Попытка неудачная - отказано в доступе (рис. 2).</w:t>
      </w:r>
    </w:p>
    <w:p>
      <w:pPr>
        <w:pStyle w:val="CaptionedFigure"/>
      </w:pPr>
      <w:bookmarkStart w:id="28" w:name="fig:002"/>
      <w:r>
        <w:drawing>
          <wp:inline>
            <wp:extent cx="5334000" cy="444941"/>
            <wp:effectExtent b="0" l="0" r="0" t="0"/>
            <wp:docPr descr="Рис. 2: Попытка изменения атрибутов file1 от имени guest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Попытка изменения атрибутов file1 от имени guest</w:t>
      </w:r>
    </w:p>
    <w:p>
      <w:pPr>
        <w:pStyle w:val="BodyText"/>
      </w:pPr>
      <w:r>
        <w:t xml:space="preserve">После этого захожу на вторую консоль под именем администратора, и добавляю к file1 аттрибут a (рис. 3).</w:t>
      </w:r>
    </w:p>
    <w:p>
      <w:pPr>
        <w:pStyle w:val="CaptionedFigure"/>
      </w:pPr>
      <w:bookmarkStart w:id="32" w:name="fig:003"/>
      <w:r>
        <w:drawing>
          <wp:inline>
            <wp:extent cx="5334000" cy="769426"/>
            <wp:effectExtent b="0" l="0" r="0" t="0"/>
            <wp:docPr descr="Рис. 3: Изменение атрибутов file1 от имени администратор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9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Изменение атрибутов file1 от имени администратора</w:t>
      </w:r>
    </w:p>
    <w:p>
      <w:pPr>
        <w:pStyle w:val="BodyText"/>
      </w:pPr>
      <w:r>
        <w:t xml:space="preserve">От пользователя guest проверяю правильность установления атрибутов (рис. 4).</w:t>
      </w:r>
    </w:p>
    <w:p>
      <w:pPr>
        <w:pStyle w:val="CaptionedFigure"/>
      </w:pPr>
      <w:bookmarkStart w:id="36" w:name="fig:004"/>
      <w:r>
        <w:drawing>
          <wp:inline>
            <wp:extent cx="5334000" cy="638391"/>
            <wp:effectExtent b="0" l="0" r="0" t="0"/>
            <wp:docPr descr="Рис. 4: Проверка рассширенных атрибутов file1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Проверка рассширенных атрибутов file1</w:t>
      </w:r>
    </w:p>
    <w:p>
      <w:pPr>
        <w:pStyle w:val="BodyText"/>
      </w:pPr>
      <w:r>
        <w:t xml:space="preserve">Далее проверяю возможеость выполнения следующих действий: дозапись в файл (выполнено), чтение файла (выполнено), стирание информации (отказано в доступе), переименование файла (отказано в доступе). (рис. 5).</w:t>
      </w:r>
    </w:p>
    <w:p>
      <w:pPr>
        <w:pStyle w:val="CaptionedFigure"/>
      </w:pPr>
      <w:bookmarkStart w:id="40" w:name="fig:005"/>
      <w:r>
        <w:drawing>
          <wp:inline>
            <wp:extent cx="5334000" cy="1543169"/>
            <wp:effectExtent b="0" l="0" r="0" t="0"/>
            <wp:docPr descr="Рис. 5: Проверка выполнения операций (с аттрибутом a)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Проверка выполнения операций (с аттрибутом a)</w:t>
      </w:r>
    </w:p>
    <w:p>
      <w:pPr>
        <w:pStyle w:val="BodyText"/>
      </w:pPr>
      <w:r>
        <w:t xml:space="preserve">Попробую установить на файл file1 права 000 с атрибутом a. Отказано в доступе (рис. 6).</w:t>
      </w:r>
    </w:p>
    <w:p>
      <w:pPr>
        <w:pStyle w:val="CaptionedFigure"/>
      </w:pPr>
      <w:bookmarkStart w:id="44" w:name="fig:006"/>
      <w:r>
        <w:drawing>
          <wp:inline>
            <wp:extent cx="5334000" cy="1082191"/>
            <wp:effectExtent b="0" l="0" r="0" t="0"/>
            <wp:docPr descr="Рис. 6: Изменение прав на файл (c атрибутом a)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2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Изменение прав на файл (c атрибутом a)</w:t>
      </w:r>
    </w:p>
    <w:p>
      <w:pPr>
        <w:pStyle w:val="BodyText"/>
      </w:pPr>
      <w:r>
        <w:t xml:space="preserve">Снимем атрибут а с файла file1 от имени администратора. (рис. 7).</w:t>
      </w:r>
    </w:p>
    <w:p>
      <w:pPr>
        <w:pStyle w:val="CaptionedFigure"/>
      </w:pPr>
      <w:bookmarkStart w:id="48" w:name="fig:007"/>
      <w:r>
        <w:drawing>
          <wp:inline>
            <wp:extent cx="5334000" cy="711200"/>
            <wp:effectExtent b="0" l="0" r="0" t="0"/>
            <wp:docPr descr="Рис. 7: Снятие атрибута a c file1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Снятие атрибута a c file1</w:t>
      </w:r>
    </w:p>
    <w:p>
      <w:pPr>
        <w:pStyle w:val="BodyText"/>
      </w:pPr>
      <w:r>
        <w:t xml:space="preserve">Проверяем все те же действия без атрибута а: дозапись в файл (выполнено), чтение файла (выполнено), стирание информации (выполнено), переименование файла (выполнено), изменение прав на файл (выполнено). (рис. 8).</w:t>
      </w:r>
    </w:p>
    <w:p>
      <w:pPr>
        <w:pStyle w:val="CaptionedFigure"/>
      </w:pPr>
      <w:bookmarkStart w:id="52" w:name="fig:008"/>
      <w:r>
        <w:drawing>
          <wp:inline>
            <wp:extent cx="5334000" cy="2084294"/>
            <wp:effectExtent b="0" l="0" r="0" t="0"/>
            <wp:docPr descr="Рис. 8: Проверка выполнения операций (без атрибута а)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Проверка выполнения операций (без атрибута а)</w:t>
      </w:r>
    </w:p>
    <w:p>
      <w:pPr>
        <w:pStyle w:val="BodyText"/>
      </w:pPr>
      <w:r>
        <w:t xml:space="preserve">Далее от имени администратора добавляю к файлу file1 атрибут i (рис. 9).</w:t>
      </w:r>
    </w:p>
    <w:p>
      <w:pPr>
        <w:pStyle w:val="CaptionedFigure"/>
      </w:pPr>
      <w:bookmarkStart w:id="56" w:name="fig:009"/>
      <w:r>
        <w:drawing>
          <wp:inline>
            <wp:extent cx="5334000" cy="552107"/>
            <wp:effectExtent b="0" l="0" r="0" t="0"/>
            <wp:docPr descr="Рис. 9: Добавление атрибута i на file1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Добавление атрибута i на file1</w:t>
      </w:r>
    </w:p>
    <w:p>
      <w:pPr>
        <w:pStyle w:val="BodyText"/>
      </w:pPr>
      <w:r>
        <w:t xml:space="preserve">Далее проверяю выполнение указанных выше операций с атрибутом i: дозапись в файл (провалено), чтение файла (выполнено), стирание информации (отказано), переименование файла (отказано), изменение прав на файл (отказано). (рис. 10)</w:t>
      </w:r>
    </w:p>
    <w:p>
      <w:pPr>
        <w:pStyle w:val="CaptionedFigure"/>
      </w:pPr>
      <w:bookmarkStart w:id="60" w:name="fig:010"/>
      <w:r>
        <w:drawing>
          <wp:inline>
            <wp:extent cx="5334000" cy="2552990"/>
            <wp:effectExtent b="0" l="0" r="0" t="0"/>
            <wp:docPr descr="Рис. 10: Проверка выполнения операций (с атрибутом i)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Проверка выполнения операций (с атрибутом i)</w:t>
      </w:r>
    </w:p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лаботраторной работы я получил практические навыки работы в консоли с расширенными атрибутами файлов.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Бекауов Артур Тимурович</dc:creator>
  <dc:language>ru-RU</dc:language>
  <cp:keywords/>
  <dcterms:created xsi:type="dcterms:W3CDTF">2025-05-17T18:37:21Z</dcterms:created>
  <dcterms:modified xsi:type="dcterms:W3CDTF">2025-05-17T18:37:21Z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">
    <vt:lpwstr>True</vt:lpwstr>
  </property>
  <property fmtid="{D5CDD505-2E9C-101B-9397-08002B2CF9AE}" pid="40" name="lofTitle">
    <vt:lpwstr>Список иллюстраций</vt:lpwstr>
  </property>
  <property fmtid="{D5CDD505-2E9C-101B-9397-08002B2CF9AE}" pid="41" name="lolTitle">
    <vt:lpwstr>Листинги</vt:lpwstr>
  </property>
  <property fmtid="{D5CDD505-2E9C-101B-9397-08002B2CF9AE}" pid="42" name="lot">
    <vt:lpwstr>True</vt:lpwstr>
  </property>
  <property fmtid="{D5CDD505-2E9C-101B-9397-08002B2CF9AE}" pid="43" name="lotTitle">
    <vt:lpwstr>Список таблиц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mainfont">
    <vt:lpwstr>PT Serif</vt:lpwstr>
  </property>
  <property fmtid="{D5CDD505-2E9C-101B-9397-08002B2CF9AE}" pid="48" name="mainfontoptions">
    <vt:lpwstr>Ligatures=TeX</vt:lpwstr>
  </property>
  <property fmtid="{D5CDD505-2E9C-101B-9397-08002B2CF9AE}" pid="49" name="monofont">
    <vt:lpwstr>PT Mono</vt:lpwstr>
  </property>
  <property fmtid="{D5CDD505-2E9C-101B-9397-08002B2CF9AE}" pid="50" name="monofontoptions">
    <vt:lpwstr>Scale=MatchLowercase,Scale=0.9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papersize">
    <vt:lpwstr>a4</vt:lpwstr>
  </property>
  <property fmtid="{D5CDD505-2E9C-101B-9397-08002B2CF9AE}" pid="55" name="polyglossia-lang">
    <vt:lpwstr/>
  </property>
  <property fmtid="{D5CDD505-2E9C-101B-9397-08002B2CF9AE}" pid="56" name="polyglossia-otherlangs">
    <vt:lpwstr/>
  </property>
  <property fmtid="{D5CDD505-2E9C-101B-9397-08002B2CF9AE}" pid="57" name="rangeDelim">
    <vt:lpwstr>-</vt:lpwstr>
  </property>
  <property fmtid="{D5CDD505-2E9C-101B-9397-08002B2CF9AE}" pid="58" name="refDelim">
    <vt:lpwstr>, </vt:lpwstr>
  </property>
  <property fmtid="{D5CDD505-2E9C-101B-9397-08002B2CF9AE}" pid="59" name="refIndexTemplate">
    <vt:lpwstr>isuf</vt:lpwstr>
  </property>
  <property fmtid="{D5CDD505-2E9C-101B-9397-08002B2CF9AE}" pid="60" name="romanfont">
    <vt:lpwstr>PT Serif</vt:lpwstr>
  </property>
  <property fmtid="{D5CDD505-2E9C-101B-9397-08002B2CF9AE}" pid="61" name="romanfontoptions">
    <vt:lpwstr>Ligatures=TeX</vt:lpwstr>
  </property>
  <property fmtid="{D5CDD505-2E9C-101B-9397-08002B2CF9AE}" pid="62" name="sansfont">
    <vt:lpwstr>PT Sans</vt:lpwstr>
  </property>
  <property fmtid="{D5CDD505-2E9C-101B-9397-08002B2CF9AE}" pid="63" name="sansfontoptions">
    <vt:lpwstr>Ligatures=TeX,Scale=MatchLowercase</vt:lpwstr>
  </property>
  <property fmtid="{D5CDD505-2E9C-101B-9397-08002B2CF9AE}" pid="64" name="secHeaderDelim">
    <vt:lpwstr> </vt:lpwstr>
  </property>
  <property fmtid="{D5CDD505-2E9C-101B-9397-08002B2CF9AE}" pid="65" name="secHeaderTemplate">
    <vt:lpwstr>isecHeaderDelim[n]t</vt:lpwstr>
  </property>
  <property fmtid="{D5CDD505-2E9C-101B-9397-08002B2CF9AE}" pid="66" name="secLabels">
    <vt:lpwstr>arabic</vt:lpwstr>
  </property>
  <property fmtid="{D5CDD505-2E9C-101B-9397-08002B2CF9AE}" pid="67" name="secPrefix">
    <vt:lpwstr/>
  </property>
  <property fmtid="{D5CDD505-2E9C-101B-9397-08002B2CF9AE}" pid="68" name="secPrefixTemplate">
    <vt:lpwstr>p i</vt:lpwstr>
  </property>
  <property fmtid="{D5CDD505-2E9C-101B-9397-08002B2CF9AE}" pid="69" name="sectionsDepth">
    <vt:lpwstr>0</vt:lpwstr>
  </property>
  <property fmtid="{D5CDD505-2E9C-101B-9397-08002B2CF9AE}" pid="70" name="subfigGrid">
    <vt:lpwstr>False</vt:lpwstr>
  </property>
  <property fmtid="{D5CDD505-2E9C-101B-9397-08002B2CF9AE}" pid="71" name="subfigLabels">
    <vt:lpwstr>alpha a</vt:lpwstr>
  </property>
  <property fmtid="{D5CDD505-2E9C-101B-9397-08002B2CF9AE}" pid="72" name="subfigureChildTemplate">
    <vt:lpwstr>i</vt:lpwstr>
  </property>
  <property fmtid="{D5CDD505-2E9C-101B-9397-08002B2CF9AE}" pid="73" name="subfigureRefIndexTemplate">
    <vt:lpwstr>isuf (s)</vt:lpwstr>
  </property>
  <property fmtid="{D5CDD505-2E9C-101B-9397-08002B2CF9AE}" pid="74" name="subfigureTemplate">
    <vt:lpwstr>figureTitle ititleDelim t. ccs</vt:lpwstr>
  </property>
  <property fmtid="{D5CDD505-2E9C-101B-9397-08002B2CF9AE}" pid="75" name="subtitle">
    <vt:lpwstr>Основы информационной безопасности</vt:lpwstr>
  </property>
  <property fmtid="{D5CDD505-2E9C-101B-9397-08002B2CF9AE}" pid="76" name="tableEqns">
    <vt:lpwstr>False</vt:lpwstr>
  </property>
  <property fmtid="{D5CDD505-2E9C-101B-9397-08002B2CF9AE}" pid="77" name="tableTemplate">
    <vt:lpwstr>tableTitle ititleDelim t</vt:lpwstr>
  </property>
  <property fmtid="{D5CDD505-2E9C-101B-9397-08002B2CF9AE}" pid="78" name="tableTitle">
    <vt:lpwstr>Таблица</vt:lpwstr>
  </property>
  <property fmtid="{D5CDD505-2E9C-101B-9397-08002B2CF9AE}" pid="79" name="tblLabels">
    <vt:lpwstr>arabic</vt:lpwstr>
  </property>
  <property fmtid="{D5CDD505-2E9C-101B-9397-08002B2CF9AE}" pid="80" name="tblPrefix">
    <vt:lpwstr/>
  </property>
  <property fmtid="{D5CDD505-2E9C-101B-9397-08002B2CF9AE}" pid="81" name="tblPrefixTemplate">
    <vt:lpwstr>p i</vt:lpwstr>
  </property>
  <property fmtid="{D5CDD505-2E9C-101B-9397-08002B2CF9AE}" pid="82" name="titleDelim">
    <vt:lpwstr>:</vt:lpwstr>
  </property>
  <property fmtid="{D5CDD505-2E9C-101B-9397-08002B2CF9AE}" pid="83" name="toc">
    <vt:lpwstr>True</vt:lpwstr>
  </property>
  <property fmtid="{D5CDD505-2E9C-101B-9397-08002B2CF9AE}" pid="84" name="toc-depth">
    <vt:lpwstr>2</vt:lpwstr>
  </property>
  <property fmtid="{D5CDD505-2E9C-101B-9397-08002B2CF9AE}" pid="85" name="toc-title">
    <vt:lpwstr>Содержание</vt:lpwstr>
  </property>
</Properties>
</file>