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rPr>
          <w:b/>
          <w:bCs/>
          <w:sz w:val="40"/>
          <w:szCs w:val="40"/>
        </w:rPr>
        <w:t xml:space="preserve">Data Analytics &amp; Visualization — Take-Home Examination</w:t>
      </w:r>
    </w:p>
    <w:p>
      <w:pPr>
        <w:spacing w:after="60"/>
        <w:jc w:val="center"/>
      </w:pPr>
      <w:r>
        <w:rPr>
          <w:sz w:val="28"/>
          <w:szCs w:val="28"/>
        </w:rPr>
        <w:t xml:space="preserve">Analytical Report: Pima Indians Diabetes Dataset (DS17)</w:t>
      </w:r>
    </w:p>
    <w:p>
      <w:pPr>
        <w:spacing w:after="400"/>
        <w:jc w:val="center"/>
      </w:pPr>
      <w:r>
        <w:rPr>
          <w:color w:val="555555"/>
          <w:sz w:val="22"/>
          <w:szCs w:val="22"/>
        </w:rPr>
        <w:t xml:space="preserve">Alabyekkubo Ssuubi Brian  |  Student No. 2500726334  |  Dataset DS17</w:t>
      </w:r>
    </w:p>
    <w:p>
      <w:pPr>
        <w:pStyle w:val="Heading1"/>
        <w:spacing w:after="160" w:before="280"/>
      </w:pPr>
      <w:r>
        <w:t xml:space="preserve">Introduction</w:t>
      </w:r>
    </w:p>
    <w:p>
      <w:pPr>
        <w:spacing w:after="200" w:line="300"/>
        <w:jc w:val="both"/>
      </w:pPr>
      <w:r>
        <w:rPr>
          <w:b w:val="false"/>
          <w:bCs w:val="false"/>
          <w:i w:val="false"/>
          <w:iCs w:val="false"/>
        </w:rPr>
        <w:t xml:space="preserve">This report presents an inferential and predictive analysis of the Pima Indians Diabetes Database, a clinical dataset of 768 female patients of Pima Indian heritage, aged 21 and older, sourced from the UCI Machine Learning Repository via Kaggle (Smith et al., 1988). Each record comprises eight diagnostic covariates (glucose, blood pressure, skinfold thickness, insulin, BMI, diabetes pedigree function, age, and pregnancy count) and a binary outcome indicating diabetes onset within five years. Three questions structure the analysis: (1) which covariates differ most substantially between diabetic and non-diabetic patients, in both statistical and practical (effect-size) terms; (2) which of these covariates carry independent predictive signal once collinearity and confounding among them are accounted for, via a multivariable model; and (3) how reliable is the dataset itself, given a well-documented missingness artefact that, if left untreated, would materially bias any of the above conclusions.</w:t>
      </w:r>
    </w:p>
    <w:p>
      <w:pPr>
        <w:pStyle w:val="Heading1"/>
        <w:spacing w:after="160" w:before="280"/>
      </w:pPr>
      <w:r>
        <w:t xml:space="preserve">Methodology</w:t>
      </w:r>
    </w:p>
    <w:p>
      <w:pPr>
        <w:spacing w:after="200" w:line="300"/>
        <w:jc w:val="both"/>
      </w:pPr>
      <w:r>
        <w:rPr>
          <w:b w:val="false"/>
          <w:bCs w:val="false"/>
          <w:i w:val="false"/>
          <w:iCs w:val="false"/>
        </w:rPr>
        <w:t xml:space="preserve">All analysis was performed in Python (pandas, NumPy, Matplotlib, Seaborn, SciPy, statsmodels, scikit-learn) in a single reproducible Jupyter notebook, executed top-to-bottom from a clean kernel. Five columns (Glucose, BloodPressure, SkinThickness, Insulin, BMI) encode missing measurements as the placeholder value 0, which is physiologically impossible for a living patient; these were recoded as NaN prior to any statistic being computed, yielding missingness of 48.7% (Insulin), 29.6% (SkinThickness), 4.6% (BloodPressure), 1.4% (BMI), and 0.7% (Glucose). Missingness was judged plausibly Missing Not At Random (MNAR) for Insulin and SkinThickness specifically, since both require a secondary, less routinely ordered test, meaning the probability a value is missing is itself informative rather than independent of the patient's clinical profile; values were imputed using the median computed separately within each Outcome stratum, which is robust to the pronounced right-skew in these variables and avoids attenuating the class-conditional distributions that a single pooled median would blur. Outliers in Insulin and BMI, identified via the 1.5x-IQR rule, were Winsorized (capped at Q1-1.5xIQR and Q3+1.5xIQR) rather than removed, preserving the full n=768 sample and retaining physiologically extreme but plausible patients rather than discarding them. Group-mean comparisons used Welch's t-test throughout (unequal-variance correction), formally justified in Section C8.1 via Shapiro-Wilk and Levene's tests; effect sizes (Cohen's d) and 95% confidence intervals accompany every significance test, since with n=768 even trivial differences can reach conventional significance thresholds. A multivariable logistic regression on z-scored predictors was fit twice: once on the full sample (statsmodels, unregularized) for coefficient inference, and once on a stratified 75/25 train-test split (scikit-learn) for an honest out-of-sample performance estimate, with variance inflation factors checked beforehand to confirm multicollinearity was not distorting the coefficient estimates.</w:t>
      </w:r>
    </w:p>
    <w:p>
      <w:pPr>
        <w:pStyle w:val="Heading1"/>
        <w:spacing w:after="160" w:before="280"/>
      </w:pPr>
      <w:r>
        <w:t xml:space="preserve">Key Findings</w:t>
      </w:r>
    </w:p>
    <w:p>
      <w:pPr>
        <w:spacing w:after="200" w:line="300"/>
        <w:jc w:val="both"/>
      </w:pPr>
      <w:r>
        <w:rPr>
          <w:b w:val="false"/>
          <w:bCs w:val="false"/>
          <w:i w:val="false"/>
          <w:iCs w:val="false"/>
        </w:rPr>
        <w:t xml:space="preserve">Glucose and Insulin are the two variables that most substantially and most independently distinguish diabetic from non-diabetic patients. In bivariate terms (Figure 2), diabetic patients show a mean Glucose 31.7 mg/dL higher than non-diabetic patients (95% CI: 27.5-35.8; Welch t = 14.99, p = 8.3e-42; Cohen's d = 1.20, a large effect), and a mean Insulin 61.0 mu U/mL higher (95% CI: 53.7-68.3; t = 16.49, p = 1.4e-50; d = 1.21). Both conclusions are corroborated by a distribution-free Mann-Whitney U test (p &lt; 1e-40 for both), which matters because Shapiro-Wilk tests confirm both variables significantly violate normality within each outcome group (p &lt; 0.001), formally justifying the Welch/Mann-Whitney approach over a standard Student's t-test. BMI shows a medium-to-large effect (d = 0.70, mean difference 4.43 kg/m^2, 95% CI: 3.50-5.36), consistent with the rightward shift visible in the violin-box plot (Figure 8) and with a significant chi-square association between WHO BMI category and Outcome (Section C8.4: chi-square = 73.1, p = 9.1e-16, Cramer's V = 0.31), where diabetes prevalence rises monotonically from 0% of underweight patients to 45.6% of obese patients. The correlation structure (Figure 7) identifies SkinThickness-BMI (r = 0.57) and Pregnancies-Age (r = 0.54) as the strongest pairwise relationships, both anatomically/demographically expected rather than causally novel; Glucose-Insulin (r = 0.54) reflects genuine physiological feedback. Critically, none of these pairwise correlations translate into problematic multicollinearity (all VIF &lt; 1.7, Section C8.5), which permits confident interpretation of a multivariable logistic regression fit on all eight standardized predictors (McFadden's pseudo R^2 = 0.34): holding other covariates constant, a one-standard-deviation increase in Glucose more than doubles the odds of a diabetic outcome (OR = 2.18, p &lt; 0.001), as does Insulin (OR = 2.30, p &lt; 0.001), while BMI, Pregnancies, SkinThickness, and DiabetesPedigreeFunction remain independently significant with smaller odds ratios (1.25-1.47, all p &lt; 0.05). Most notably, Age and BloodPressure, despite showing a medium bivariate effect (Age: d = 0.51, p &lt; 0.001) and a significant one-way ANOVA across age groups on Glucose (F = 15.64, p = 2.6e-12, eta-squared = 0.076, a medium effect), are not independently significant once the other seven predictors are controlled for (p = 0.13 and p = 0.83 respectively) — Age's apparent effect is substantially absorbed by its correlation with Pregnancies, a textbook demonstration of confounding that a purely bivariate analysis would miss and that directly supports the associational-not-causal reading of the Pregnancies-Age pair discussed under Correlation Analysis. Finally, on a held-out 25%-test split never seen during model fitting, the logistic model achieves an AUC-ROC of 0.85 (good discrimination), though precision and recall are markedly weaker for the minority Diabetic class (0.63/0.64) than the majority Non-Diabetic class (0.81/0.80) — a direct, quantified consequence of the 65:35 class imbalance shown in Figure 4, and the reason overall accuracy (0.74) understates how much harder the model finds the clinically more important minority class.</w:t>
      </w:r>
    </w:p>
    <w:p>
      <w:pPr>
        <w:pStyle w:val="Heading1"/>
        <w:spacing w:after="160" w:before="280"/>
      </w:pPr>
      <w:r>
        <w:t xml:space="preserve">Conclusion and Limitations</w:t>
      </w:r>
    </w:p>
    <w:p>
      <w:pPr>
        <w:spacing w:after="200" w:line="300"/>
        <w:jc w:val="both"/>
      </w:pPr>
      <w:r>
        <w:rPr>
          <w:b w:val="false"/>
          <w:bCs w:val="false"/>
          <w:i w:val="false"/>
          <w:iCs w:val="false"/>
        </w:rPr>
        <w:t xml:space="preserve">Beyond simply identifying which variables correlate with diabetes, this analysis distinguishes independent from confounded predictors: Glucose and Insulin carry the strongest and most independent signal (large effect sizes, large standardized odds ratios, surviving multivariable adjustment), BMI and reproductive history (Pregnancies) contribute smaller but genuine independent effects, while Age's apparent importance is largely an artefact of its correlation with Pregnancies rather than an independent risk factor in this sample. Two limitations materially bound these conclusions' precision. First, imputing 48.7% of Insulin and 29.6% of SkinThickness values with within-group medians necessarily compresses variance in the imputed cases toward the group centre; because the multivariable model and correlation estimates for these two variables are computed on a dataset that is nearly half synthetic for Insulin, their true effect sizes and odds ratios are almost certainly larger, not smaller, than reported here, making this analysis conservative rather than exaggerated with respect to Insulin's role specifically. Second, external validity is constrained: the cohort is a single sex, a single ethnic group, and adults only, so the specific thresholds and odds ratios reported (e.g. the ~140 vs ~108 mg/dL glucose split, or the 2.2-2.3x odds ratios) should not be extrapolated to other populations without independent replication. Future work should prioritize (a) obtaining or approximating true (non-imputed) Insulin measurements, for instance via a sensitivity analysis comparing complete-case and imputed estimates, and (b) validating the logistic model, or a more flexible non-linear alternative such as gradient-boosted trees, on an external, demographically broader cohort before any clinical or screening application is considered.</w:t>
      </w:r>
    </w:p>
    <w:p>
      <w:pPr>
        <w:pageBreakBefore/>
      </w:pPr>
      <w:r>
        <w:t xml:space="preserve"/>
      </w:r>
    </w:p>
    <w:p>
      <w:pPr>
        <w:pStyle w:val="Heading1"/>
        <w:spacing w:after="160" w:before="280"/>
      </w:pPr>
      <w:r>
        <w:t xml:space="preserve">Bonus: Interactive Dashboard</w:t>
      </w:r>
    </w:p>
    <w:p>
      <w:pPr>
        <w:spacing w:after="200" w:line="300"/>
        <w:jc w:val="both"/>
      </w:pPr>
      <w:r>
        <w:rPr>
          <w:b w:val="false"/>
          <w:bCs w:val="false"/>
          <w:i w:val="false"/>
          <w:iCs w:val="false"/>
        </w:rPr>
        <w:t xml:space="preserve">An interactive Streamlit dashboard was built to allow dynamic exploration of the dataset beyond the static figures above. It lets the user filter patients by Outcome (Diabetic / Non-Diabetic / All) and by Age range using sidebar controls, and select which numerical variable (Glucose, BMI, Insulin, etc.) to explore. Three visualizations — a histogram, a boxplot by Outcome, and a correlation heatmap — update live based on the selected filters and variable, drawing from the cleaned dataset produced in Part B.</w:t>
      </w:r>
    </w:p>
    <w:p>
      <w:pPr>
        <w:spacing w:after="200"/>
      </w:pPr>
      <w:r>
        <w:rPr>
          <w:b/>
          <w:bCs/>
        </w:rPr>
        <w:t xml:space="preserve">Deployed dashboard: </w:t>
      </w:r>
      <w:r>
        <w:rPr>
          <w:color w:val="1155CC"/>
          <w:u w:val="single"/>
        </w:rPr>
        <w:t xml:space="preserve">https://alabyekkubo-pimadashboard-2500726334.streamlit.app/</w:t>
      </w:r>
    </w:p>
    <w:p>
      <w:pPr>
        <w:spacing w:after="200" w:line="300"/>
        <w:jc w:val="both"/>
      </w:pPr>
      <w:r>
        <w:rPr>
          <w:b w:val="false"/>
          <w:bCs w:val="false"/>
          <w:i w:val="false"/>
          <w:iCs w:val="false"/>
        </w:rPr>
        <w:t xml:space="preserve">The dashboard script is also included in the submission zip as dashboard_app.py, alongside the cleaned dataset (diabetes_clean.csv) it depends on.</w:t>
      </w:r>
    </w:p>
    <w:p>
      <w:pPr>
        <w:pageBreakBefore/>
      </w:pPr>
      <w:r>
        <w:t xml:space="preserve"/>
      </w:r>
    </w:p>
    <w:p>
      <w:pPr>
        <w:pStyle w:val="Heading1"/>
        <w:spacing w:after="160" w:before="280"/>
      </w:pPr>
      <w:r>
        <w:t xml:space="preserve">Embedded Figures</w:t>
      </w:r>
    </w:p>
    <w:p>
      <w:pPr>
        <w:spacing w:after="100" w:before="200"/>
        <w:jc w:val="center"/>
      </w:pPr>
      <w:r>
        <w:drawing>
          <wp:inline distT="0" distB="0" distL="0" distR="0">
            <wp:extent cx="5669280" cy="219456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669280" cy="2194560"/>
                    </a:xfrm>
                    <a:prstGeom prst="rect">
                      <a:avLst/>
                    </a:prstGeom>
                  </pic:spPr>
                </pic:pic>
              </a:graphicData>
            </a:graphic>
          </wp:inline>
        </w:drawing>
      </w:r>
    </w:p>
    <w:p>
      <w:pPr>
        <w:spacing w:after="300"/>
        <w:jc w:val="center"/>
      </w:pPr>
      <w:r>
        <w:rPr>
          <w:i/>
          <w:iCs/>
          <w:sz w:val="20"/>
          <w:szCs w:val="20"/>
        </w:rPr>
        <w:t xml:space="preserve">Figure 1: Distribution of Glucose and Age across all 768 patients, with KDE overlay. Age is strongly right-skewed toward younger adults.</w:t>
      </w:r>
    </w:p>
    <w:p>
      <w:pPr>
        <w:spacing w:after="100" w:before="200"/>
        <w:jc w:val="center"/>
      </w:pPr>
      <w:r>
        <w:drawing>
          <wp:inline distT="0" distB="0" distL="0" distR="0">
            <wp:extent cx="5669280" cy="219456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669280" cy="2194560"/>
                    </a:xfrm>
                    <a:prstGeom prst="rect">
                      <a:avLst/>
                    </a:prstGeom>
                  </pic:spPr>
                </pic:pic>
              </a:graphicData>
            </a:graphic>
          </wp:inline>
        </w:drawing>
      </w:r>
    </w:p>
    <w:p>
      <w:pPr>
        <w:spacing w:after="300"/>
        <w:jc w:val="center"/>
      </w:pPr>
      <w:r>
        <w:rPr>
          <w:i/>
          <w:iCs/>
          <w:sz w:val="20"/>
          <w:szCs w:val="20"/>
        </w:rPr>
        <w:t xml:space="preserve">Figure 2: Glucose and Age distributions grouped by diabetes Outcome. Glucose shows minimal interquartile overlap between groups.</w:t>
      </w:r>
    </w:p>
    <w:p>
      <w:pPr>
        <w:spacing w:after="100" w:before="200"/>
        <w:jc w:val="center"/>
      </w:pPr>
      <w:r>
        <w:drawing>
          <wp:inline distT="0" distB="0" distL="0" distR="0">
            <wp:extent cx="4206240" cy="301752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206240" cy="3017520"/>
                    </a:xfrm>
                    <a:prstGeom prst="rect">
                      <a:avLst/>
                    </a:prstGeom>
                  </pic:spPr>
                </pic:pic>
              </a:graphicData>
            </a:graphic>
          </wp:inline>
        </w:drawing>
      </w:r>
    </w:p>
    <w:p>
      <w:pPr>
        <w:spacing w:after="300"/>
        <w:jc w:val="center"/>
      </w:pPr>
      <w:r>
        <w:rPr>
          <w:i/>
          <w:iCs/>
          <w:sz w:val="20"/>
          <w:szCs w:val="20"/>
        </w:rPr>
        <w:t xml:space="preserve">Figure 5: Scatter plot of Glucose vs BMI with linear regression line (Pearson r ≈ 0.22, p &lt; 0.001).</w:t>
      </w:r>
    </w:p>
    <w:p>
      <w:pPr>
        <w:spacing w:after="100" w:before="200"/>
        <w:jc w:val="center"/>
      </w:pPr>
      <w:r>
        <w:drawing>
          <wp:inline distT="0" distB="0" distL="0" distR="0">
            <wp:extent cx="4754880" cy="393192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754880" cy="3931920"/>
                    </a:xfrm>
                    <a:prstGeom prst="rect">
                      <a:avLst/>
                    </a:prstGeom>
                  </pic:spPr>
                </pic:pic>
              </a:graphicData>
            </a:graphic>
          </wp:inline>
        </w:drawing>
      </w:r>
    </w:p>
    <w:p>
      <w:pPr>
        <w:spacing w:after="300"/>
        <w:jc w:val="center"/>
      </w:pPr>
      <w:r>
        <w:rPr>
          <w:i/>
          <w:iCs/>
          <w:sz w:val="20"/>
          <w:szCs w:val="20"/>
        </w:rPr>
        <w:t xml:space="preserve">Figure 7: Pearson correlation heatmap of all numerical variables and Outcome, annotated with coefficients.</w:t>
      </w:r>
    </w:p>
    <w:p>
      <w:pPr>
        <w:spacing w:after="100" w:before="200"/>
        <w:jc w:val="center"/>
      </w:pPr>
      <w:r>
        <w:drawing>
          <wp:inline distT="0" distB="0" distL="0" distR="0">
            <wp:extent cx="4572000" cy="329184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572000" cy="3291840"/>
                    </a:xfrm>
                    <a:prstGeom prst="rect">
                      <a:avLst/>
                    </a:prstGeom>
                  </pic:spPr>
                </pic:pic>
              </a:graphicData>
            </a:graphic>
          </wp:inline>
        </w:drawing>
      </w:r>
    </w:p>
    <w:p>
      <w:pPr>
        <w:spacing w:after="300"/>
        <w:jc w:val="center"/>
      </w:pPr>
      <w:r>
        <w:rPr>
          <w:i/>
          <w:iCs/>
          <w:sz w:val="20"/>
          <w:szCs w:val="20"/>
        </w:rPr>
        <w:t xml:space="preserve">Figure 14: Standardized odds ratios (95% CI) from the multivariable logistic regression. Glucose and Insulin show the largest, most independent effects; Age and BloodPressure cross the null (OR = 1) line and are not independently significant.</w:t>
      </w:r>
    </w:p>
    <w:p>
      <w:pPr>
        <w:spacing w:after="100" w:before="200"/>
        <w:jc w:val="center"/>
      </w:pPr>
      <w:r>
        <w:drawing>
          <wp:inline distT="0" distB="0" distL="0" distR="0">
            <wp:extent cx="3657600" cy="329184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657600" cy="3291840"/>
                    </a:xfrm>
                    <a:prstGeom prst="rect">
                      <a:avLst/>
                    </a:prstGeom>
                  </pic:spPr>
                </pic:pic>
              </a:graphicData>
            </a:graphic>
          </wp:inline>
        </w:drawing>
      </w:r>
    </w:p>
    <w:p>
      <w:pPr>
        <w:spacing w:after="300"/>
        <w:jc w:val="center"/>
      </w:pPr>
      <w:r>
        <w:rPr>
          <w:i/>
          <w:iCs/>
          <w:sz w:val="20"/>
          <w:szCs w:val="20"/>
        </w:rPr>
        <w:t xml:space="preserve">Figure 15: ROC curve for the logistic regression model evaluated on a held-out 25% test set (AUC = 0.85), showing good discriminative ability between diabetic and non-diabetic patients.</w:t>
      </w:r>
    </w:p>
    <w:p>
      <w:pPr>
        <w:spacing w:after="100" w:before="200"/>
        <w:jc w:val="center"/>
      </w:pPr>
      <w:r>
        <w:drawing>
          <wp:inline distT="0" distB="0" distL="0" distR="0">
            <wp:extent cx="4023360" cy="402336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023360" cy="4023360"/>
                    </a:xfrm>
                    <a:prstGeom prst="rect">
                      <a:avLst/>
                    </a:prstGeom>
                  </pic:spPr>
                </pic:pic>
              </a:graphicData>
            </a:graphic>
          </wp:inline>
        </w:drawing>
      </w:r>
    </w:p>
    <w:p>
      <w:pPr>
        <w:spacing w:after="300"/>
        <w:jc w:val="center"/>
      </w:pPr>
      <w:r>
        <w:rPr>
          <w:i/>
          <w:iCs/>
          <w:sz w:val="20"/>
          <w:szCs w:val="20"/>
        </w:rPr>
        <w:t xml:space="preserve">Figure 13: Normalized mean health profile (Glucose, BMI, Age, Pregnancies, DiabetesPedigreeFunction, BloodPressure) for diabetic vs non-diabetic patients.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4cb6b93ada1912313c323992f74f32e279ae36af.png"/><Relationship Id="rId8" Type="http://schemas.openxmlformats.org/officeDocument/2006/relationships/image" Target="media/27f91522faf2a8bee12be2e1a124e047b141b747.png"/><Relationship Id="rId9" Type="http://schemas.openxmlformats.org/officeDocument/2006/relationships/image" Target="media/1d2fcbd4c362f9087fa91036533757f513353afa.png"/><Relationship Id="rId10" Type="http://schemas.openxmlformats.org/officeDocument/2006/relationships/image" Target="media/65af7f68573d3170fc723da255d35d2de5c25fa4.png"/><Relationship Id="rId11" Type="http://schemas.openxmlformats.org/officeDocument/2006/relationships/image" Target="media/f90046e0a1bff71dae2d1e7dddfbc1da073503c9.png"/><Relationship Id="rId12" Type="http://schemas.openxmlformats.org/officeDocument/2006/relationships/image" Target="media/de373c67ec28f59ae751e81a8decfa3645fe1c80.png"/><Relationship Id="rId13" Type="http://schemas.openxmlformats.org/officeDocument/2006/relationships/image" Target="media/4fe1fd6312d2b0af78d823ede11f4823b4ae8ca2.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2026-07-15T18:15:45.254Z</dcterms:created>
  <dcterms:modified xsi:type="dcterms:W3CDTF">2026-07-15T18:15:45.263Z</dcterms:modified>
</cp:coreProperties>
</file>

<file path=docProps/custom.xml><?xml version="1.0" encoding="utf-8"?>
<Properties xmlns="http://schemas.openxmlformats.org/officeDocument/2006/custom-properties" xmlns:vt="http://schemas.openxmlformats.org/officeDocument/2006/docPropsVTypes"/>
</file>