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733B2" w14:textId="77777777" w:rsidR="00210CAC" w:rsidRPr="00CE7F1E" w:rsidRDefault="00102C8F" w:rsidP="00D9115E">
      <w:pPr>
        <w:jc w:val="both"/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  <w:r w:rsidRPr="00210CAC">
        <w:rPr>
          <w:rFonts w:ascii="Tahoma" w:hAnsi="Tahoma" w:cs="Tahoma"/>
          <w:b/>
          <w:bCs/>
          <w:color w:val="000000"/>
          <w:sz w:val="24"/>
          <w:szCs w:val="24"/>
          <w:bdr w:val="none" w:sz="0" w:space="0" w:color="auto" w:frame="1"/>
        </w:rPr>
        <w:t>Welcome!</w:t>
      </w:r>
      <w:r w:rsidRPr="00210CAC">
        <w:rPr>
          <w:rFonts w:ascii="Tahoma" w:hAnsi="Tahoma" w:cs="Tahoma"/>
          <w:b/>
          <w:bCs/>
          <w:color w:val="000000"/>
          <w:sz w:val="24"/>
          <w:szCs w:val="24"/>
          <w:bdr w:val="none" w:sz="0" w:space="0" w:color="auto" w:frame="1"/>
        </w:rPr>
        <w:br/>
      </w:r>
    </w:p>
    <w:p w14:paraId="024003AF" w14:textId="09FC74F5" w:rsidR="008B7527" w:rsidRPr="008B7527" w:rsidRDefault="00FE75D5" w:rsidP="008B7527">
      <w:pPr>
        <w:jc w:val="both"/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We are s</w:t>
      </w:r>
      <w:r w:rsidR="00060CAA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ituated </w:t>
      </w:r>
      <w:r w:rsidR="00210CAC" w:rsidRPr="00CE7F1E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in the heart of </w:t>
      </w:r>
      <w:r w:rsidR="00D9115E" w:rsidRPr="00CE7F1E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one of the most premier government institutes by the Council of Scientific and Industrial Research (CSIR),</w:t>
      </w:r>
      <w:r w:rsidR="00D9115E" w:rsidRPr="00D9115E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</w:t>
      </w:r>
      <w:r w:rsidR="00D9115E" w:rsidRPr="00CE7F1E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Institute of Genomics and Integrative Biology (IGIB)</w:t>
      </w:r>
      <w:r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. O</w:t>
      </w:r>
      <w:r w:rsidR="00060CAA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ur Functional Genomics Laboratory </w:t>
      </w:r>
      <w:r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works closely towards bridging the gap between the fundamentals of Genomics and its translational approaches to </w:t>
      </w:r>
      <w:r w:rsidR="00655718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better comprehend the dictated mechanisms leading to</w:t>
      </w:r>
      <w:r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human disease</w:t>
      </w:r>
      <w:r w:rsidR="00655718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s specifically, neurodegenerative ailments for their prognosis and prevention.</w:t>
      </w:r>
      <w:r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</w:t>
      </w:r>
      <w:r w:rsid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Time and again, we have been a part of government initiatives and projects to understand diseases at a</w:t>
      </w:r>
      <w:r w:rsidR="000952FE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n individual and</w:t>
      </w:r>
      <w:r w:rsid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population level better, like </w:t>
      </w:r>
      <w:r w:rsidR="0002152B" w:rsidRP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the Indian Genome Variation Project (IGV)</w:t>
      </w:r>
      <w:r w:rsid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,</w:t>
      </w:r>
      <w:r w:rsidR="005803A1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</w:t>
      </w:r>
      <w:r w:rsidR="00C42D97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under which</w:t>
      </w:r>
      <w:r w:rsidR="00415F6E" w:rsidRPr="00415F6E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1800 individuals from 55 ethnic groups were studied at the Single Nucleotide</w:t>
      </w:r>
      <w:r w:rsidR="00415F6E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</w:t>
      </w:r>
      <w:r w:rsidR="00415F6E" w:rsidRPr="00415F6E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Polymorphism (SNP) level</w:t>
      </w:r>
      <w:r w:rsidR="00415F6E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and th</w:t>
      </w:r>
      <w:r w:rsidR="002658E0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e</w:t>
      </w:r>
      <w:r w:rsidR="00415F6E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project was completed within two years of its announcement</w:t>
      </w:r>
      <w:r w:rsid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. Soon after, in 2015 we became an integral part of another project</w:t>
      </w:r>
      <w:r w:rsidR="00ED0929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, </w:t>
      </w:r>
      <w:r w:rsidR="00DE69B2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‘</w:t>
      </w:r>
      <w:r w:rsidR="0002152B" w:rsidRP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The Genomics for Understanding Rare Diseases: India Alliance Network (</w:t>
      </w:r>
      <w:proofErr w:type="spellStart"/>
      <w:r w:rsidR="0002152B" w:rsidRP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GUaRDIAN</w:t>
      </w:r>
      <w:proofErr w:type="spellEnd"/>
      <w:r w:rsidR="0002152B" w:rsidRP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)</w:t>
      </w:r>
      <w:r w:rsidR="00DE69B2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’</w:t>
      </w:r>
      <w:r w:rsidR="0002152B" w:rsidRP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</w:t>
      </w:r>
      <w:r w:rsid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i</w:t>
      </w:r>
      <w:r w:rsidR="0002152B" w:rsidRP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nspired by the dire need of</w:t>
      </w:r>
      <w:r w:rsid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</w:t>
      </w:r>
      <w:r w:rsidR="0002152B" w:rsidRP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studying curable and incurable diseases in such a varied population</w:t>
      </w:r>
      <w:r w:rsid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</w:t>
      </w:r>
      <w:r w:rsidR="0002152B" w:rsidRP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which brought together eminent Scientists, Clinicians and researchers </w:t>
      </w:r>
      <w:r w:rsidR="005F591E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from all over the country </w:t>
      </w:r>
      <w:r w:rsidR="0002152B" w:rsidRP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towards understanding genetic</w:t>
      </w:r>
      <w:r w:rsid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</w:t>
      </w:r>
      <w:r w:rsidR="0002152B" w:rsidRP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variations in a population and applying that knowledge in related technologies</w:t>
      </w:r>
      <w:r w:rsidR="00ED0929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. Subsequently, </w:t>
      </w:r>
      <w:r w:rsidR="00122D5D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as a part of</w:t>
      </w:r>
      <w:r w:rsidR="00CC114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C114B" w:rsidRPr="0002152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GUaRDIAN</w:t>
      </w:r>
      <w:proofErr w:type="spellEnd"/>
      <w:r w:rsidR="00122D5D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, </w:t>
      </w:r>
      <w:r w:rsidR="00ED0929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we became the chief laboratory to provide free equitable access to</w:t>
      </w:r>
      <w:r w:rsidR="007057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D0929" w:rsidRPr="00BB06C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genetic testing for frequent genetic diseases to</w:t>
      </w:r>
      <w:r w:rsidR="00123C1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D0929" w:rsidRPr="00BB06C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underprivileged patients countrywide through Government-funded program</w:t>
      </w:r>
      <w:r w:rsidR="00ED092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r w:rsidR="00ED0929" w:rsidRPr="00ED0929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the </w:t>
      </w:r>
      <w:r w:rsidR="00DE69B2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‘</w:t>
      </w:r>
      <w:r w:rsidR="00ED0929" w:rsidRPr="00ED0929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Genomics and other Omics technologies for Enabling Medical Decision</w:t>
      </w:r>
      <w:r w:rsidR="00ED0929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</w:t>
      </w:r>
      <w:r w:rsidR="00ED0929" w:rsidRPr="00ED0929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(GOMED)</w:t>
      </w:r>
      <w:r w:rsidR="00DE69B2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’</w:t>
      </w:r>
      <w:r w:rsidR="00CF7E6D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</w:t>
      </w:r>
      <w:r w:rsidR="008B7239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comprising of genetic investigation of greater than 60 conditions</w:t>
      </w:r>
      <w:r w:rsidR="001D0B3D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from Spinocerebellar Ataxia to Molecular Dystrophy</w:t>
      </w:r>
      <w:r w:rsidR="00B8534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where we have genetically addressed about 10,000 </w:t>
      </w:r>
      <w:r w:rsidR="008B6CD1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>patient</w:t>
      </w:r>
      <w:r w:rsidR="00B8534B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 samples till now</w:t>
      </w:r>
      <w:r w:rsidR="001D0B3D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. </w:t>
      </w:r>
      <w:r w:rsidR="004707F5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Apart from this, ever since its inception, our laboratory has </w:t>
      </w:r>
      <w:r w:rsidR="00713063"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  <w:t xml:space="preserve">been committed to research in 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genetically and clinically heterogeneous group of rare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neurodegenerative disorders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Spinocerebellar 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A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taxias (SCAs)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as a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large variety of genetic mutations are associated with 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them comprising of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dynamic </w:t>
      </w:r>
      <w:r w:rsidR="00E80A47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T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andem </w:t>
      </w:r>
      <w:r w:rsidR="00E80A47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N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ucleotide </w:t>
      </w:r>
      <w:r w:rsidR="00E80A47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R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epeat (TNR) expansion, </w:t>
      </w:r>
      <w:r w:rsidR="00E80A47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P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oint mutation, </w:t>
      </w:r>
      <w:r w:rsidR="00E80A47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I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nsertion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and </w:t>
      </w:r>
      <w:r w:rsidR="00E80A47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D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eletion.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C15C84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With varying genetic profiles, specific experimentations and validations are carried out</w:t>
      </w:r>
      <w:r w:rsidR="002A1475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,</w:t>
      </w:r>
      <w:r w:rsidR="00A2001B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for instance, </w:t>
      </w:r>
      <w:r w:rsidR="00A2001B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Autosomal </w:t>
      </w:r>
      <w:r w:rsidR="002909EB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D</w:t>
      </w:r>
      <w:r w:rsidR="00A2001B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ominant SCAs</w:t>
      </w:r>
      <w:r w:rsidR="00CE707E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(ADCAs)</w:t>
      </w:r>
      <w:r w:rsidR="00A2001B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, c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aused more often by 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repeat expansion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s</w:t>
      </w:r>
      <w:r w:rsidR="00A2001B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are 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validate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d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by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220B05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F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luorescent labelled </w:t>
      </w:r>
      <w:r w:rsidR="00026E95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primer-based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PCR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reaction or </w:t>
      </w:r>
      <w:r w:rsidR="005B0552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T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riplet </w:t>
      </w:r>
      <w:r w:rsidR="0062594A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P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rimed (TP) </w:t>
      </w:r>
      <w:r w:rsidR="00E1239D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PCR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followed by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2909EB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F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ragment </w:t>
      </w:r>
      <w:r w:rsidR="00CE707E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A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nalysis method, whereas</w:t>
      </w:r>
      <w:r w:rsidR="00CE707E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,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CE707E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A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utosomal </w:t>
      </w:r>
      <w:r w:rsidR="00CE707E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R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ecessive </w:t>
      </w:r>
      <w:r w:rsidR="00CE707E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SCAs</w:t>
      </w:r>
      <w:r w:rsidR="00CE707E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(A</w:t>
      </w:r>
      <w:r w:rsidR="00CE707E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R</w:t>
      </w:r>
      <w:r w:rsidR="00CE707E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CAs)</w:t>
      </w:r>
      <w:r w:rsidR="00CE707E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caused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due to repeat expansion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(FRDA) or </w:t>
      </w:r>
      <w:r w:rsidR="000D4118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p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oint mutation </w:t>
      </w:r>
      <w:r w:rsidR="000D4118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are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confirm</w:t>
      </w:r>
      <w:r w:rsidR="000D4118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ed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using TP</w:t>
      </w:r>
      <w:r w:rsidR="008A4096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-</w:t>
      </w:r>
      <w:r w:rsidR="00753F01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PCR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followed by </w:t>
      </w:r>
      <w:r w:rsidR="00F604E4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F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ragment </w:t>
      </w:r>
      <w:r w:rsidR="00F604E4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A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nalysis or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F604E4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S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anger </w:t>
      </w:r>
      <w:r w:rsidR="00F604E4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S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equencing method. </w:t>
      </w:r>
      <w:r w:rsidR="00B37785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We also refer to </w:t>
      </w:r>
      <w:r w:rsidR="00790AA9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Next-Generation Sequencing (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NGS</w:t>
      </w:r>
      <w:r w:rsidR="00790AA9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)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technologies</w:t>
      </w:r>
      <w:r w:rsidR="00363EBF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,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especially </w:t>
      </w:r>
      <w:r w:rsidR="00363EBF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E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xome sequencing </w:t>
      </w:r>
      <w:r w:rsidR="00363EBF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to usually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713063" w:rsidRPr="0077396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solve genetically negative samples.</w:t>
      </w:r>
      <w:r w:rsid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The other major part of our research also focuses 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on genotype to phenotype correlation</w:t>
      </w:r>
      <w:r w:rsidR="00AD1ED9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, where we study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the pathogenesis of various</w:t>
      </w:r>
      <w:r w:rsid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neurodegenerative disorders like Spinocerebellar </w:t>
      </w:r>
      <w:r w:rsidR="00AD1ED9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A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taxias (SCAs), FRDA</w:t>
      </w:r>
      <w:r w:rsidR="00AD1ED9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along with 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finding their therapeutic</w:t>
      </w:r>
      <w:r w:rsid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targets.</w:t>
      </w:r>
      <w:r w:rsid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AD1ED9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Since, </w:t>
      </w:r>
      <w:r w:rsidR="00AD1ED9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it is quite challenging to get post-mortem autopsy tissues of the brain of the patient suffering</w:t>
      </w:r>
      <w:r w:rsidR="00AD1ED9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AD1ED9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from neurological disorders</w:t>
      </w:r>
      <w:r w:rsidR="00AD1ED9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AD1ED9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i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n India, </w:t>
      </w:r>
      <w:r w:rsidR="00490043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we </w:t>
      </w:r>
      <w:r w:rsidR="006E3DE9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therefore</w:t>
      </w:r>
      <w:r w:rsidR="0036223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,</w:t>
      </w:r>
      <w:r w:rsidR="006E3DE9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490043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generate Lymphoblastoid </w:t>
      </w:r>
      <w:r w:rsidR="001362C1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C</w:t>
      </w:r>
      <w:r w:rsidR="00490043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ell </w:t>
      </w:r>
      <w:r w:rsidR="001362C1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L</w:t>
      </w:r>
      <w:r w:rsidR="00490043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ines (LCLs) from </w:t>
      </w:r>
      <w:r w:rsidR="00C65AA8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P</w:t>
      </w:r>
      <w:r w:rsidR="00490043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eripheral</w:t>
      </w:r>
      <w:r w:rsidR="00490043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C65AA8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B</w:t>
      </w:r>
      <w:r w:rsidR="00490043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lood </w:t>
      </w:r>
      <w:r w:rsidR="00C65AA8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M</w:t>
      </w:r>
      <w:r w:rsidR="00490043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ononuclear </w:t>
      </w:r>
      <w:r w:rsidR="00C65AA8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C</w:t>
      </w:r>
      <w:r w:rsidR="00490043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ells (PBMCs) </w:t>
      </w:r>
      <w:r w:rsidR="00936E0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of </w:t>
      </w:r>
      <w:r w:rsidR="00490043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patients</w:t>
      </w:r>
      <w:r w:rsidR="00490043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i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n our lab</w:t>
      </w:r>
      <w:r w:rsidR="00490043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. Subsequently, 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to study the specific brain pathologies in these diseases</w:t>
      </w:r>
      <w:r w:rsidR="0089641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,</w:t>
      </w:r>
      <w:r w:rsid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we </w:t>
      </w:r>
      <w:r w:rsidR="0089641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also 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develop </w:t>
      </w:r>
      <w:r w:rsidR="0089641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I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nduced </w:t>
      </w:r>
      <w:r w:rsidR="0089641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P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luripotent </w:t>
      </w:r>
      <w:r w:rsidR="0089641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S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tem </w:t>
      </w:r>
      <w:r w:rsidR="00896410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C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ells 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lastRenderedPageBreak/>
        <w:t>(iPSCs) from LCLs and further differentiate these iPSCs to</w:t>
      </w:r>
      <w:r w:rsid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Neurons, </w:t>
      </w:r>
      <w:r w:rsidR="007562C5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to 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recapitulate the environment existing in the patient nerve cells. Thus, </w:t>
      </w:r>
      <w:r w:rsidR="00C95E18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as an ideal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model</w:t>
      </w:r>
      <w:r w:rsidR="002D19E8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, it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helps us in studying specific molecular perturbations</w:t>
      </w:r>
      <w:r w:rsidR="008573D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at large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.</w:t>
      </w:r>
      <w:r w:rsid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Currently, we have more than 40 cellular models of different patients</w:t>
      </w:r>
      <w:r w:rsidR="007433E3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and 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our future goal </w:t>
      </w:r>
      <w:proofErr w:type="gramStart"/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is</w:t>
      </w:r>
      <w:proofErr w:type="gramEnd"/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to include </w:t>
      </w:r>
      <w:r w:rsidR="007433E3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even more 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diseases in our stem cell repository </w:t>
      </w:r>
      <w:r w:rsidR="007433E3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to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elucidate their pathogenesis for</w:t>
      </w:r>
      <w:r w:rsid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therapeutic</w:t>
      </w:r>
      <w:r w:rsid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8B7527" w:rsidRPr="008B7527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>interventions</w:t>
      </w:r>
      <w:r w:rsidR="006D7D4C"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  <w:t xml:space="preserve"> as our ultimate vision is healthcare.</w:t>
      </w:r>
    </w:p>
    <w:p w14:paraId="4CCF718F" w14:textId="77777777" w:rsidR="00713063" w:rsidRPr="008B7527" w:rsidRDefault="00713063" w:rsidP="00713063">
      <w:pPr>
        <w:jc w:val="both"/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</w:pPr>
    </w:p>
    <w:p w14:paraId="4D44680B" w14:textId="77777777" w:rsidR="00713063" w:rsidRPr="008B7527" w:rsidRDefault="00713063" w:rsidP="00713063">
      <w:pPr>
        <w:jc w:val="both"/>
        <w:rPr>
          <w:rFonts w:ascii="Tahoma" w:hAnsi="Tahoma" w:cs="Tahoma"/>
          <w:color w:val="000000" w:themeColor="text1"/>
          <w:sz w:val="24"/>
          <w:szCs w:val="24"/>
          <w:bdr w:val="none" w:sz="0" w:space="0" w:color="auto" w:frame="1"/>
        </w:rPr>
      </w:pPr>
    </w:p>
    <w:p w14:paraId="545859D1" w14:textId="77777777" w:rsidR="00713063" w:rsidRDefault="00713063" w:rsidP="00713063">
      <w:pPr>
        <w:jc w:val="both"/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5C7A8F60" w14:textId="77777777" w:rsidR="00713063" w:rsidRPr="00CE7F1E" w:rsidRDefault="00713063" w:rsidP="00713063">
      <w:pPr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1B996304" w14:textId="64DB37A8" w:rsidR="00210CAC" w:rsidRPr="00713063" w:rsidRDefault="00210CAC" w:rsidP="00713063">
      <w:pPr>
        <w:jc w:val="both"/>
        <w:rPr>
          <w:rFonts w:ascii="Tahoma" w:hAnsi="Tahoma" w:cs="Tahoma"/>
          <w:color w:val="FF0000"/>
          <w:sz w:val="24"/>
          <w:szCs w:val="24"/>
          <w:bdr w:val="none" w:sz="0" w:space="0" w:color="auto" w:frame="1"/>
        </w:rPr>
      </w:pPr>
    </w:p>
    <w:p w14:paraId="76F1FA78" w14:textId="3C22B898" w:rsidR="004707F5" w:rsidRDefault="004707F5" w:rsidP="00415F6E">
      <w:pPr>
        <w:jc w:val="both"/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1B106162" w14:textId="5E74AEFD" w:rsidR="004707F5" w:rsidRDefault="004707F5" w:rsidP="00415F6E">
      <w:pPr>
        <w:jc w:val="both"/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3D69F734" w14:textId="253D50D2" w:rsidR="004707F5" w:rsidRDefault="004707F5" w:rsidP="00415F6E">
      <w:pPr>
        <w:jc w:val="both"/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3C525458" w14:textId="3D7A7575" w:rsidR="004707F5" w:rsidRDefault="004707F5" w:rsidP="00415F6E">
      <w:pPr>
        <w:jc w:val="both"/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52D75B9B" w14:textId="2AE21B48" w:rsidR="00ED0929" w:rsidRDefault="00ED0929" w:rsidP="0002152B">
      <w:pPr>
        <w:jc w:val="both"/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3F3D680E" w14:textId="31CDC531" w:rsidR="00ED0929" w:rsidRDefault="00ED0929" w:rsidP="0002152B">
      <w:pPr>
        <w:jc w:val="both"/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3E12B60D" w14:textId="6EDEF4F9" w:rsidR="00ED0929" w:rsidRDefault="00ED0929" w:rsidP="0002152B">
      <w:pPr>
        <w:jc w:val="both"/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2A9A86B5" w14:textId="77777777" w:rsidR="00CE7F1E" w:rsidRPr="00CE7F1E" w:rsidRDefault="00CE7F1E" w:rsidP="00210CAC">
      <w:pPr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67C3DC34" w14:textId="77777777" w:rsidR="00CE7F1E" w:rsidRPr="00CE7F1E" w:rsidRDefault="00CE7F1E" w:rsidP="00210CAC">
      <w:pPr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376A8F84" w14:textId="77777777" w:rsidR="00CE7F1E" w:rsidRPr="00CE7F1E" w:rsidRDefault="00CE7F1E" w:rsidP="00CE7F1E">
      <w:pPr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6721CB6F" w14:textId="5DF48F79" w:rsidR="00102C8F" w:rsidRDefault="00102C8F">
      <w:pPr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0A30F70B" w14:textId="13820B8F" w:rsidR="0002152B" w:rsidRDefault="0002152B">
      <w:pPr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7F022704" w14:textId="109FBBE4" w:rsidR="0002152B" w:rsidRDefault="0002152B">
      <w:pPr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5AF7E1FC" w14:textId="72A55750" w:rsidR="0002152B" w:rsidRDefault="0002152B">
      <w:pPr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4C137EF0" w14:textId="22F9A62A" w:rsidR="0002152B" w:rsidRDefault="0002152B">
      <w:pPr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5E685F17" w14:textId="6514DA48" w:rsidR="0002152B" w:rsidRDefault="0002152B">
      <w:pPr>
        <w:rPr>
          <w:rFonts w:ascii="Tahoma" w:hAnsi="Tahoma" w:cs="Tahoma"/>
          <w:color w:val="000000"/>
          <w:sz w:val="24"/>
          <w:szCs w:val="24"/>
          <w:bdr w:val="none" w:sz="0" w:space="0" w:color="auto" w:frame="1"/>
        </w:rPr>
      </w:pPr>
    </w:p>
    <w:p w14:paraId="6C06EFB1" w14:textId="77777777" w:rsidR="0002152B" w:rsidRPr="00210CAC" w:rsidRDefault="0002152B">
      <w:pPr>
        <w:rPr>
          <w:rFonts w:ascii="Tahoma" w:hAnsi="Tahoma" w:cs="Tahoma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6960BB64" w14:textId="77777777" w:rsidR="00210CAC" w:rsidRPr="00210CAC" w:rsidRDefault="00210CAC">
      <w:pPr>
        <w:rPr>
          <w:sz w:val="24"/>
          <w:szCs w:val="24"/>
        </w:rPr>
      </w:pPr>
    </w:p>
    <w:sectPr w:rsidR="00210CAC" w:rsidRPr="0021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8F"/>
    <w:rsid w:val="0002152B"/>
    <w:rsid w:val="00026E95"/>
    <w:rsid w:val="00060CAA"/>
    <w:rsid w:val="000952FE"/>
    <w:rsid w:val="000D4118"/>
    <w:rsid w:val="00102C8F"/>
    <w:rsid w:val="00122D5D"/>
    <w:rsid w:val="00123C17"/>
    <w:rsid w:val="001362C1"/>
    <w:rsid w:val="001D0B3D"/>
    <w:rsid w:val="00210CAC"/>
    <w:rsid w:val="00220B05"/>
    <w:rsid w:val="002658E0"/>
    <w:rsid w:val="002909EB"/>
    <w:rsid w:val="002A1475"/>
    <w:rsid w:val="002D19E8"/>
    <w:rsid w:val="002F0241"/>
    <w:rsid w:val="00362230"/>
    <w:rsid w:val="00363EBF"/>
    <w:rsid w:val="003D267D"/>
    <w:rsid w:val="00415F6E"/>
    <w:rsid w:val="004707F5"/>
    <w:rsid w:val="00490043"/>
    <w:rsid w:val="004D7FDA"/>
    <w:rsid w:val="005803A1"/>
    <w:rsid w:val="005B0552"/>
    <w:rsid w:val="005C60CE"/>
    <w:rsid w:val="005F591E"/>
    <w:rsid w:val="0062594A"/>
    <w:rsid w:val="00655718"/>
    <w:rsid w:val="0069157D"/>
    <w:rsid w:val="006D7D4C"/>
    <w:rsid w:val="006E3DE9"/>
    <w:rsid w:val="0070574A"/>
    <w:rsid w:val="00713063"/>
    <w:rsid w:val="007433E3"/>
    <w:rsid w:val="007539BC"/>
    <w:rsid w:val="00753F01"/>
    <w:rsid w:val="00753F9F"/>
    <w:rsid w:val="007562C5"/>
    <w:rsid w:val="00773960"/>
    <w:rsid w:val="00790AA9"/>
    <w:rsid w:val="008573D7"/>
    <w:rsid w:val="00896410"/>
    <w:rsid w:val="008A4096"/>
    <w:rsid w:val="008B6CD1"/>
    <w:rsid w:val="008B7239"/>
    <w:rsid w:val="008B7527"/>
    <w:rsid w:val="00936E00"/>
    <w:rsid w:val="00A2001B"/>
    <w:rsid w:val="00AD1ED9"/>
    <w:rsid w:val="00B326EB"/>
    <w:rsid w:val="00B37785"/>
    <w:rsid w:val="00B8534B"/>
    <w:rsid w:val="00C15C84"/>
    <w:rsid w:val="00C42D97"/>
    <w:rsid w:val="00C65AA8"/>
    <w:rsid w:val="00C95E18"/>
    <w:rsid w:val="00CC114B"/>
    <w:rsid w:val="00CE707E"/>
    <w:rsid w:val="00CE7F1E"/>
    <w:rsid w:val="00CF7E6D"/>
    <w:rsid w:val="00D9115E"/>
    <w:rsid w:val="00DE69B2"/>
    <w:rsid w:val="00E1239D"/>
    <w:rsid w:val="00E262B1"/>
    <w:rsid w:val="00E80A47"/>
    <w:rsid w:val="00ED0929"/>
    <w:rsid w:val="00F35A17"/>
    <w:rsid w:val="00F408F6"/>
    <w:rsid w:val="00F604E4"/>
    <w:rsid w:val="00FE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292B"/>
  <w15:chartTrackingRefBased/>
  <w15:docId w15:val="{FC6F4BFB-9CAD-4673-A261-6886849A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0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 Seth</dc:creator>
  <cp:keywords/>
  <dc:description/>
  <cp:lastModifiedBy>Malika Seth</cp:lastModifiedBy>
  <cp:revision>2</cp:revision>
  <dcterms:created xsi:type="dcterms:W3CDTF">2020-05-16T22:32:00Z</dcterms:created>
  <dcterms:modified xsi:type="dcterms:W3CDTF">2020-05-16T22:32:00Z</dcterms:modified>
</cp:coreProperties>
</file>