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135A4" w14:textId="57FB36B8" w:rsidR="003D0174" w:rsidRDefault="003D0174" w:rsidP="003D0174">
      <w:r>
        <w:t>Homework #4. Analyze real-world emissions data</w:t>
      </w:r>
    </w:p>
    <w:p w14:paraId="7BCD593A" w14:textId="77777777" w:rsidR="008A138D" w:rsidRDefault="00870C4B" w:rsidP="008A138D">
      <w:r>
        <w:t xml:space="preserve">Use the example data files provided in </w:t>
      </w:r>
      <w:r w:rsidR="00001BAC">
        <w:t>L</w:t>
      </w:r>
      <w:r>
        <w:t xml:space="preserve">earning </w:t>
      </w:r>
      <w:r w:rsidR="00001BAC">
        <w:t>S</w:t>
      </w:r>
      <w:r>
        <w:t xml:space="preserve">uite </w:t>
      </w:r>
      <w:r w:rsidR="004D5556">
        <w:t>on the schedule for November 2</w:t>
      </w:r>
    </w:p>
    <w:p w14:paraId="614B5CB6" w14:textId="35A7A763" w:rsidR="004D5556" w:rsidRDefault="004D5556" w:rsidP="008A138D">
      <w:r>
        <w:t>Feat.class.example.csv</w:t>
      </w:r>
    </w:p>
    <w:p w14:paraId="374A7480" w14:textId="77777777" w:rsidR="00661F0F" w:rsidRDefault="00D27FD7" w:rsidP="00661F0F">
      <w:pPr>
        <w:pStyle w:val="ListParagraph"/>
        <w:numPr>
          <w:ilvl w:val="0"/>
          <w:numId w:val="1"/>
        </w:numPr>
      </w:pPr>
      <w:r>
        <w:t xml:space="preserve">Graph </w:t>
      </w:r>
      <w:r w:rsidR="0067206A">
        <w:t xml:space="preserve">histograms of </w:t>
      </w:r>
      <w:r>
        <w:t>the fuel-based emission rates (g/kg-fuel)</w:t>
      </w:r>
      <w:r w:rsidR="00457383">
        <w:t xml:space="preserve"> </w:t>
      </w:r>
      <w:r w:rsidR="005B0BAA">
        <w:t>for HC, CO, and NOx</w:t>
      </w:r>
      <w:r w:rsidR="006A3ACE">
        <w:t xml:space="preserve"> for each date of measurements</w:t>
      </w:r>
      <w:r w:rsidR="005B0BAA">
        <w:t xml:space="preserve">. </w:t>
      </w:r>
    </w:p>
    <w:p w14:paraId="6D5025FB" w14:textId="523EDA14" w:rsidR="008E5ED2" w:rsidRDefault="008E5ED2" w:rsidP="00661F0F">
      <w:pPr>
        <w:pStyle w:val="ListParagraph"/>
        <w:numPr>
          <w:ilvl w:val="1"/>
          <w:numId w:val="1"/>
        </w:numPr>
      </w:pPr>
      <w:r>
        <w:t xml:space="preserve">How much </w:t>
      </w:r>
      <w:r w:rsidR="00FF5657">
        <w:t>does the maximum emission rate at each location compare to the median emission rate</w:t>
      </w:r>
      <w:r w:rsidR="00A140E7">
        <w:t>?</w:t>
      </w:r>
      <w:r w:rsidR="00CC1344">
        <w:t xml:space="preserve"> </w:t>
      </w:r>
      <w:r w:rsidR="000731C0">
        <w:t>(</w:t>
      </w:r>
      <w:proofErr w:type="gramStart"/>
      <w:r w:rsidR="000731C0">
        <w:t>maximum</w:t>
      </w:r>
      <w:proofErr w:type="gramEnd"/>
      <w:r w:rsidR="000731C0">
        <w:t xml:space="preserve"> divided by the </w:t>
      </w:r>
      <w:r w:rsidR="004733C0">
        <w:t>median emission rate)</w:t>
      </w:r>
    </w:p>
    <w:p w14:paraId="54AE05A8" w14:textId="77777777" w:rsidR="00661F0F" w:rsidRDefault="00661F0F" w:rsidP="00661F0F">
      <w:pPr>
        <w:pStyle w:val="ListParagraph"/>
        <w:numPr>
          <w:ilvl w:val="1"/>
          <w:numId w:val="1"/>
        </w:numPr>
      </w:pPr>
      <w:r>
        <w:t>Which pollutant has the most skewed distribution?</w:t>
      </w:r>
    </w:p>
    <w:p w14:paraId="50411AC4" w14:textId="77777777" w:rsidR="00661F0F" w:rsidRDefault="00661F0F" w:rsidP="00661F0F">
      <w:pPr>
        <w:pStyle w:val="ListParagraph"/>
        <w:ind w:left="792"/>
      </w:pPr>
    </w:p>
    <w:p w14:paraId="22F4E8DB" w14:textId="5EDAC5D1" w:rsidR="00D94980" w:rsidRDefault="002C0C26" w:rsidP="002F35E2">
      <w:pPr>
        <w:pStyle w:val="ListParagraph"/>
        <w:numPr>
          <w:ilvl w:val="0"/>
          <w:numId w:val="1"/>
        </w:numPr>
      </w:pPr>
      <w:r>
        <w:t xml:space="preserve">Do </w:t>
      </w:r>
      <w:r w:rsidR="0087318E">
        <w:t xml:space="preserve">gasoline </w:t>
      </w:r>
      <w:r>
        <w:t>vehicles with high emissions of CO</w:t>
      </w:r>
      <w:r w:rsidR="005D4E6F">
        <w:t xml:space="preserve"> </w:t>
      </w:r>
      <w:r>
        <w:t xml:space="preserve">also tend to have </w:t>
      </w:r>
      <w:r w:rsidR="005D4E6F">
        <w:t xml:space="preserve">high </w:t>
      </w:r>
      <w:r>
        <w:t>emissions of HC and NOx?</w:t>
      </w:r>
      <w:r w:rsidR="00F50567">
        <w:t xml:space="preserve"> </w:t>
      </w:r>
    </w:p>
    <w:p w14:paraId="2137D7F8" w14:textId="31A49A4A" w:rsidR="002C0C26" w:rsidRDefault="00A74698" w:rsidP="00D94980">
      <w:pPr>
        <w:pStyle w:val="ListParagraph"/>
        <w:numPr>
          <w:ilvl w:val="1"/>
          <w:numId w:val="1"/>
        </w:numPr>
      </w:pPr>
      <w:r>
        <w:t>Compare the data graphically</w:t>
      </w:r>
    </w:p>
    <w:p w14:paraId="4192C4FC" w14:textId="1B07D0AB" w:rsidR="007F55C4" w:rsidRDefault="007F55C4" w:rsidP="007F55C4">
      <w:pPr>
        <w:pStyle w:val="ListParagraph"/>
        <w:numPr>
          <w:ilvl w:val="1"/>
          <w:numId w:val="1"/>
        </w:numPr>
      </w:pPr>
      <w:r>
        <w:t>What’s the R</w:t>
      </w:r>
      <w:r w:rsidRPr="0065767F">
        <w:rPr>
          <w:vertAlign w:val="subscript"/>
        </w:rPr>
        <w:t>2</w:t>
      </w:r>
      <w:r>
        <w:t xml:space="preserve"> correlation</w:t>
      </w:r>
      <w:r w:rsidR="005D4E6F">
        <w:t xml:space="preserve"> between the different pollutants</w:t>
      </w:r>
      <w:r>
        <w:t>?</w:t>
      </w:r>
    </w:p>
    <w:p w14:paraId="15DCFF9F" w14:textId="77777777" w:rsidR="00DD2DBE" w:rsidRDefault="00DD2DBE" w:rsidP="00DD2DBE">
      <w:pPr>
        <w:pStyle w:val="ListParagraph"/>
        <w:ind w:left="792"/>
      </w:pPr>
    </w:p>
    <w:p w14:paraId="52D6F1D1" w14:textId="02011634" w:rsidR="00DD2DBE" w:rsidRDefault="00DD2DBE" w:rsidP="00DD2DBE">
      <w:pPr>
        <w:pStyle w:val="ListParagraph"/>
        <w:numPr>
          <w:ilvl w:val="0"/>
          <w:numId w:val="1"/>
        </w:numPr>
      </w:pPr>
      <w:r>
        <w:t xml:space="preserve">Vehicle </w:t>
      </w:r>
      <w:r w:rsidR="00F2331C">
        <w:t xml:space="preserve">emission </w:t>
      </w:r>
      <w:r>
        <w:t xml:space="preserve">Inspection and </w:t>
      </w:r>
      <w:r w:rsidR="002D55F1">
        <w:t xml:space="preserve">Maintenance </w:t>
      </w:r>
      <w:r w:rsidR="00F2331C">
        <w:t xml:space="preserve">(I/M) </w:t>
      </w:r>
      <w:r w:rsidR="002D55F1">
        <w:t xml:space="preserve">Programs are designed to prevent high emitting vehicles from operating on the road, either by requiring the owner to fix their vehicle, or to remove it from the vehicle fleet. </w:t>
      </w:r>
    </w:p>
    <w:p w14:paraId="11F8291B" w14:textId="131890C1" w:rsidR="002D55F1" w:rsidRDefault="002D55F1" w:rsidP="002D55F1">
      <w:pPr>
        <w:pStyle w:val="ListParagraph"/>
        <w:ind w:left="360"/>
      </w:pPr>
    </w:p>
    <w:p w14:paraId="3075F9B5" w14:textId="13E3BB38" w:rsidR="002D55F1" w:rsidRDefault="009D7C70" w:rsidP="002D55F1">
      <w:pPr>
        <w:pStyle w:val="ListParagraph"/>
        <w:ind w:left="360"/>
      </w:pPr>
      <w:r>
        <w:t xml:space="preserve">Researchers have </w:t>
      </w:r>
      <w:r w:rsidR="00052E4C">
        <w:t xml:space="preserve">not found meaningful </w:t>
      </w:r>
      <w:r w:rsidR="00E94E70">
        <w:t xml:space="preserve">impacts of </w:t>
      </w:r>
      <w:r w:rsidR="00F2331C">
        <w:t xml:space="preserve">I/M programs </w:t>
      </w:r>
      <w:r w:rsidR="00E94E70">
        <w:t xml:space="preserve">on reducing vehicle emissions </w:t>
      </w:r>
      <w:r w:rsidR="00000354">
        <w:t>and improving air quality</w:t>
      </w:r>
      <w:r w:rsidR="00F2331C">
        <w:fldChar w:fldCharType="begin"/>
      </w:r>
      <w:r w:rsidR="00000354">
        <w:instrText xml:space="preserve"> ADDIN ZOTERO_ITEM CSL_CITATION {"citationID":"IStecg4G","properties":{"formattedCitation":"[1], [2]","plainCitation":"[1], [2]","noteIndex":0},"citationItems":[{"id":5819,"uris":["http://zotero.org/users/9451857/items/H6AFJDDD"],"itemData":{"id":5819,"type":"article-journal","abstract":"A multiyear, on-road emission measurement program carried out in the cities of Chicago, Illinois; Denver, Colorado; Los Angeles (LA), California; and Phoenix, Arizona shows large, fuel-specific tailpipe emissions reductions at all of the sites for carbon monoxide (CO), hydrocarbons (HC), and nitric oxide (NO). CO emissions decreased between 56% (Denver) and 71% (Chicago), HC emissions decrease between 27% (Phoenix) and 63% (Denver), and NO emissions have dropped between 48% (West LA) and 68% (Chicago). Three observed factors common to all of the sites are that the emission reductions are occurring in vehicles of all ages, that the influence of engine load on fuel-specific emissions, especially for CO and NO, is reduced and that fleet-averaged emission deterioration is near zero for model years newer than 2001 and older than 1990. These nationwide data sets imply that the majority of these on-road emissions reductions are the result of continued improvements in function and durability of vehicle emission control systems and that inspection and maintenance and fuel reformulation programs have only played a minor role.","container-title":"Environmental Science &amp; Technology","DOI":"10.1021/es702413b","ISSN":"0013-936X","issue":"5","journalAbbreviation":"Environ. Sci. Technol.","note":"publisher: American Chemical Society","page":"1651-1656","source":"ACS Publications","title":"A Decade of On-road Emissions Measurements","URL":"https://doi.org/10.1021/es702413b","volume":"42","author":[{"family":"Bishop","given":"Gary A."},{"family":"Stedman","given":"Donald H."}],"accessed":{"date-parts":[["2022",10,26]]},"issued":{"date-parts":[["2008",3,1]]}}},{"id":5895,"uris":["http://zotero.org/users/9451857/items/BY3DQJ44"],"itemData":{"id":5895,"type":"article-journal","abstract":"Many regional and local governments across the United States (US), Europe, and Asia have inspection and maintenance (I/M) programs designed to reduce pollution from personal transportation. To test for a link between I/M and local air pollution levels, we estimate the contemporaneous effect of inspections on local air quality in the US state of California. We use day-to-day, within-county variation in the number of vehicles certified after failing an initial emissions inspection as a proxy for emissions-related repairs. Additional passed reinspections of older vehicles with inferior emissions technology (pre-1985 model year) reduce local carbon monoxide, nitrogen oxide, and particulate matter levels, but passed reinspections of newer vehicles with more modern engine technology have no economically significant effect on air pollution. This suggests that biannual emissions inspections as currently implemented will play less of a role in reducing local air pollution as polluting vehicles from the 1970s and 1980s leave the road.","container-title":"Journal of the Association of Environmental and Resource Economists","DOI":"10.1086/707954","ISSN":"2333-5955","issue":"3","note":"publisher: The University of Chicago Press","page":"587-618","source":"journals.uchicago.edu (Atypon)","title":"Technology and the Effectiveness of Regulatory Programs over Time: Vehicle Emissions and Smog Checks with a Changing Fleet","title-short":"Technology and the Effectiveness of Regulatory Programs over Time","URL":"https://www.journals.uchicago.edu/doi/full/10.1086/707954","volume":"7","author":[{"family":"Sanders","given":"Nicholas J."},{"family":"Sandler","given":"Ryan"}],"accessed":{"date-parts":[["2022",11,8]]},"issued":{"date-parts":[["2020",5]]}}}],"schema":"https://github.com/citation-style-language/schema/raw/master/csl-citation.json"} </w:instrText>
      </w:r>
      <w:r w:rsidR="00F2331C">
        <w:fldChar w:fldCharType="separate"/>
      </w:r>
      <w:r w:rsidR="00D03207" w:rsidRPr="00D03207">
        <w:rPr>
          <w:rFonts w:ascii="Calibri" w:hAnsi="Calibri" w:cs="Calibri"/>
        </w:rPr>
        <w:t>[1], [2]</w:t>
      </w:r>
      <w:r w:rsidR="00F2331C">
        <w:fldChar w:fldCharType="end"/>
      </w:r>
      <w:r w:rsidR="00000354">
        <w:t xml:space="preserve">. In addition, </w:t>
      </w:r>
      <w:r w:rsidR="00934ECC">
        <w:t xml:space="preserve">I/M programs are shown to impact lower income households more than </w:t>
      </w:r>
      <w:r w:rsidR="00D03207">
        <w:t>higher income households</w:t>
      </w:r>
      <w:r w:rsidR="00D03207">
        <w:fldChar w:fldCharType="begin"/>
      </w:r>
      <w:r w:rsidR="00D03207">
        <w:instrText xml:space="preserve"> ADDIN ZOTERO_ITEM CSL_CITATION {"citationID":"gjUBpS8K","properties":{"formattedCitation":"[3]","plainCitation":"[3]","noteIndex":0},"citationItems":[{"id":5892,"uris":["http://zotero.org/users/9451857/items/J5C62AI8"],"itemData":{"id":5892,"type":"article-journal","abstract":"Comparing vehicle emissions inspection results with vehicle owner income shows that the Arizona vehicle emissions inspection program constrains the vehicle repair decisions of people in the low end of the income distribution more than people in the high end. Individuals who live in areas with lower annual income are both (i) more likely to drive vehicles that fail emissions inspections at a higher average rate, and (ii) more likely to fail emissions inspections conditional on vehicle characteristics. The top income quintile fails emissions inspections 20% less often than the bottom income quintile even when controlling for observable vehicle characteristics. This implies that owner characteristics, in addition to observable vehicle characteristics, have a non-negligible impact on vehicle emissions rates. Therefore, the impact of programs designed to reduce vehicle emissions could be greater if participation were subject to a means test.","container-title":"Transportation Research Part D: Transport and Environment","DOI":"10.1016/j.trd.2019.102207","ISSN":"1361-9209","journalAbbreviation":"Transportation Research Part D: Transport and Environment","language":"en","page":"102207","source":"ScienceDirect","title":"Policing the poor: The impact of vehicle emissions inspection programs across income","title-short":"Policing the poor","URL":"https://www.sciencedirect.com/science/article/pii/S1361920919306285","volume":"78","author":[{"family":"Wessel","given":"Ryan J"}],"accessed":{"date-parts":[["2022",11,8]]},"issued":{"date-parts":[["2020",1,1]]}}}],"schema":"https://github.com/citation-style-language/schema/raw/master/csl-citation.json"} </w:instrText>
      </w:r>
      <w:r w:rsidR="00D03207">
        <w:fldChar w:fldCharType="separate"/>
      </w:r>
      <w:r w:rsidR="00D03207" w:rsidRPr="00D03207">
        <w:rPr>
          <w:rFonts w:ascii="Calibri" w:hAnsi="Calibri" w:cs="Calibri"/>
        </w:rPr>
        <w:t>[3]</w:t>
      </w:r>
      <w:r w:rsidR="00D03207">
        <w:fldChar w:fldCharType="end"/>
      </w:r>
      <w:r w:rsidR="007A4DB9">
        <w:t xml:space="preserve">. </w:t>
      </w:r>
    </w:p>
    <w:p w14:paraId="51DFD5C4" w14:textId="77777777" w:rsidR="002D55F1" w:rsidRDefault="002D55F1" w:rsidP="002D55F1">
      <w:pPr>
        <w:pStyle w:val="ListParagraph"/>
        <w:ind w:left="360"/>
      </w:pPr>
    </w:p>
    <w:p w14:paraId="043FD43C" w14:textId="5E1BB0CB" w:rsidR="002D55F1" w:rsidRDefault="007A4DB9" w:rsidP="0098046F">
      <w:pPr>
        <w:pStyle w:val="ListParagraph"/>
        <w:numPr>
          <w:ilvl w:val="1"/>
          <w:numId w:val="1"/>
        </w:numPr>
      </w:pPr>
      <w:r>
        <w:t>How do you think we should address veh</w:t>
      </w:r>
      <w:r w:rsidR="007B1A6A">
        <w:t xml:space="preserve">icle emissions from </w:t>
      </w:r>
      <w:r w:rsidR="0098046F">
        <w:t xml:space="preserve">high-emitting vehicles? </w:t>
      </w:r>
    </w:p>
    <w:p w14:paraId="6BB09D30" w14:textId="77777777" w:rsidR="002D55F1" w:rsidRDefault="002D55F1" w:rsidP="002D55F1">
      <w:pPr>
        <w:pStyle w:val="ListParagraph"/>
        <w:ind w:left="360"/>
      </w:pPr>
    </w:p>
    <w:p w14:paraId="63C617FA" w14:textId="77777777" w:rsidR="007F55C4" w:rsidRDefault="007F55C4" w:rsidP="007F55C4">
      <w:pPr>
        <w:pStyle w:val="ListParagraph"/>
        <w:ind w:left="792"/>
      </w:pPr>
    </w:p>
    <w:p w14:paraId="3FA90F17" w14:textId="1A320D50" w:rsidR="004733C0" w:rsidRDefault="00FB61D6" w:rsidP="00C41B8E">
      <w:pPr>
        <w:pStyle w:val="ListParagraph"/>
        <w:numPr>
          <w:ilvl w:val="0"/>
          <w:numId w:val="1"/>
        </w:numPr>
      </w:pPr>
      <w:r>
        <w:t xml:space="preserve">Calculate the </w:t>
      </w:r>
      <w:r w:rsidRPr="00564695">
        <w:rPr>
          <w:b/>
          <w:bCs/>
        </w:rPr>
        <w:t>9</w:t>
      </w:r>
      <w:r w:rsidR="00310888" w:rsidRPr="00564695">
        <w:rPr>
          <w:b/>
          <w:bCs/>
        </w:rPr>
        <w:t>0</w:t>
      </w:r>
      <w:r w:rsidRPr="00564695">
        <w:rPr>
          <w:b/>
          <w:bCs/>
        </w:rPr>
        <w:t>%</w:t>
      </w:r>
      <w:r>
        <w:t xml:space="preserve"> confidence intervals of the mean </w:t>
      </w:r>
      <w:r w:rsidR="00310888">
        <w:t>CO</w:t>
      </w:r>
      <w:r w:rsidR="00FB1C88">
        <w:t xml:space="preserve"> </w:t>
      </w:r>
      <w:r w:rsidR="008A138D">
        <w:t xml:space="preserve">emission rate for </w:t>
      </w:r>
      <w:r w:rsidR="006F1EF9">
        <w:t xml:space="preserve">gasoline vehicles for </w:t>
      </w:r>
      <w:r w:rsidR="008A138D">
        <w:t>each day</w:t>
      </w:r>
      <w:r w:rsidR="00FB1C88">
        <w:t xml:space="preserve">. </w:t>
      </w:r>
      <w:r w:rsidR="00044419">
        <w:t xml:space="preserve">Are the gasoline </w:t>
      </w:r>
      <w:r w:rsidR="00824140">
        <w:t>vehicle rates from each site significantly different from one another?</w:t>
      </w:r>
      <w:r w:rsidR="00C41B8E">
        <w:t xml:space="preserve"> </w:t>
      </w:r>
    </w:p>
    <w:p w14:paraId="736D5707" w14:textId="0D41D083" w:rsidR="00222A73" w:rsidRDefault="00C41B8E" w:rsidP="00200AAE">
      <w:pPr>
        <w:ind w:left="360"/>
      </w:pPr>
      <w:r>
        <w:t xml:space="preserve">Note: You can </w:t>
      </w:r>
      <w:r w:rsidR="00200AAE">
        <w:t xml:space="preserve">edit </w:t>
      </w:r>
      <w:r>
        <w:t>my R code for this problem to re-sample</w:t>
      </w:r>
      <w:r w:rsidR="00740151">
        <w:t xml:space="preserve"> the measurements</w:t>
      </w:r>
      <w:r w:rsidR="00564695">
        <w:t xml:space="preserve">. </w:t>
      </w:r>
    </w:p>
    <w:p w14:paraId="30E8F494" w14:textId="4794512B" w:rsidR="00564695" w:rsidRDefault="00564695" w:rsidP="00200AAE">
      <w:pPr>
        <w:ind w:left="360"/>
      </w:pPr>
      <w:r>
        <w:t xml:space="preserve">If you do not have familiarity with R, you can </w:t>
      </w:r>
      <w:r w:rsidR="008A565A">
        <w:t xml:space="preserve">approximate using the t-distribution. </w:t>
      </w:r>
    </w:p>
    <w:p w14:paraId="1FFAB0D2" w14:textId="229200D4" w:rsidR="00D222A2" w:rsidRDefault="00D222A2" w:rsidP="00200AAE">
      <w:pPr>
        <w:ind w:left="360"/>
      </w:pPr>
      <w:proofErr w:type="gramStart"/>
      <w:r>
        <w:t>3.1  What</w:t>
      </w:r>
      <w:proofErr w:type="gramEnd"/>
      <w:r>
        <w:t xml:space="preserve"> </w:t>
      </w:r>
      <w:r w:rsidR="008B1865">
        <w:t>are</w:t>
      </w:r>
      <w:r>
        <w:t xml:space="preserve"> advantage</w:t>
      </w:r>
      <w:r w:rsidR="008B1865">
        <w:t>s</w:t>
      </w:r>
      <w:r>
        <w:t xml:space="preserve"> and disadvantage</w:t>
      </w:r>
      <w:r w:rsidR="008B1865">
        <w:t>s</w:t>
      </w:r>
      <w:r>
        <w:t xml:space="preserve"> of using the re-sampling method?</w:t>
      </w:r>
    </w:p>
    <w:p w14:paraId="5636824E" w14:textId="0431DA82" w:rsidR="00E45755" w:rsidRDefault="00E45755">
      <w:r>
        <w:br w:type="page"/>
      </w:r>
    </w:p>
    <w:p w14:paraId="07985D7C" w14:textId="77777777" w:rsidR="00E45755" w:rsidRDefault="00E45755" w:rsidP="00200AAE">
      <w:pPr>
        <w:ind w:left="360"/>
      </w:pPr>
    </w:p>
    <w:p w14:paraId="1BFEDB25" w14:textId="55E9CD47" w:rsidR="006B0853" w:rsidRDefault="006B0853" w:rsidP="002F35E2">
      <w:pPr>
        <w:pStyle w:val="ListParagraph"/>
        <w:numPr>
          <w:ilvl w:val="0"/>
          <w:numId w:val="1"/>
        </w:numPr>
      </w:pPr>
      <w:r>
        <w:t xml:space="preserve">Table </w:t>
      </w:r>
      <w:r w:rsidR="00CB08AB">
        <w:t>MF-2 from Highway Stati</w:t>
      </w:r>
      <w:r w:rsidR="000E7C0A">
        <w:t>stics p</w:t>
      </w:r>
      <w:r w:rsidR="00CB08AB">
        <w:t>rovides</w:t>
      </w:r>
      <w:r w:rsidR="00F5455C">
        <w:t xml:space="preserve"> total sales of</w:t>
      </w:r>
      <w:r w:rsidR="000E7C0A">
        <w:t xml:space="preserve"> gasoline </w:t>
      </w:r>
      <w:r w:rsidR="008E010C">
        <w:t>and special (diesel)</w:t>
      </w:r>
      <w:r w:rsidR="00F5455C">
        <w:t xml:space="preserve"> fuel in 2020 by state</w:t>
      </w:r>
      <w:r w:rsidR="008B6E74">
        <w:t xml:space="preserve"> in 1000’s of gallons</w:t>
      </w:r>
      <w:r w:rsidR="000E7C0A">
        <w:fldChar w:fldCharType="begin"/>
      </w:r>
      <w:r w:rsidR="00D03207">
        <w:instrText xml:space="preserve"> ADDIN ZOTERO_ITEM CSL_CITATION {"citationID":"QSW6fLSk","properties":{"formattedCitation":"[4]","plainCitation":"[4]","noteIndex":0},"citationItems":[{"id":5887,"uris":["http://zotero.org/users/9451857/items/WMVFHSSH"],"itemData":{"id":5887,"type":"webpage","title":"Table MF-2 / Highway Statistics 2020 - Policy | Federal Highway Administration","URL":"https://www.fhwa.dot.gov/policyinformation/statistics/2020/mf2.cfm","accessed":{"date-parts":[["2022",11,5]]}}}],"schema":"https://github.com/citation-style-language/schema/raw/master/csl-citation.json"} </w:instrText>
      </w:r>
      <w:r w:rsidR="000E7C0A">
        <w:fldChar w:fldCharType="separate"/>
      </w:r>
      <w:r w:rsidR="00D03207" w:rsidRPr="00D03207">
        <w:rPr>
          <w:rFonts w:ascii="Calibri" w:hAnsi="Calibri" w:cs="Calibri"/>
        </w:rPr>
        <w:t>[4]</w:t>
      </w:r>
      <w:r w:rsidR="000E7C0A">
        <w:fldChar w:fldCharType="end"/>
      </w:r>
      <w:r>
        <w:t xml:space="preserve">. </w:t>
      </w:r>
    </w:p>
    <w:p w14:paraId="500CFF4F" w14:textId="60E375EA" w:rsidR="009F1FE3" w:rsidRDefault="009F1FE3" w:rsidP="009F1FE3">
      <w:pPr>
        <w:pStyle w:val="ListParagraph"/>
        <w:ind w:left="360"/>
      </w:pPr>
    </w:p>
    <w:p w14:paraId="112F7CB5" w14:textId="463F204C" w:rsidR="009F1FE3" w:rsidRDefault="00C0536B" w:rsidP="009F1FE3">
      <w:pPr>
        <w:pStyle w:val="ListParagraph"/>
        <w:ind w:left="360"/>
      </w:pPr>
      <w:r>
        <w:t xml:space="preserve">We measured 50 diesel vehicles at 10 am across the four locations. The </w:t>
      </w:r>
      <w:r w:rsidR="00E44423">
        <w:t>average diesel vehicle NO emission rate</w:t>
      </w:r>
      <w:r>
        <w:t xml:space="preserve"> (g/kg)</w:t>
      </w:r>
      <w:r w:rsidR="00E44423">
        <w:t xml:space="preserve"> </w:t>
      </w:r>
      <w:r w:rsidR="00BD1B65">
        <w:t>for the 10 am time period is</w:t>
      </w:r>
      <w:r w:rsidR="004543BA">
        <w:t>:</w:t>
      </w:r>
    </w:p>
    <w:p w14:paraId="187BF26B" w14:textId="660FC19E" w:rsidR="004543BA" w:rsidRDefault="004543BA" w:rsidP="009F1FE3">
      <w:pPr>
        <w:pStyle w:val="ListParagraph"/>
        <w:ind w:left="360"/>
      </w:pPr>
    </w:p>
    <w:tbl>
      <w:tblPr>
        <w:tblW w:w="9271" w:type="dxa"/>
        <w:tblLook w:val="04A0" w:firstRow="1" w:lastRow="0" w:firstColumn="1" w:lastColumn="0" w:noHBand="0" w:noVBand="1"/>
      </w:tblPr>
      <w:tblGrid>
        <w:gridCol w:w="1033"/>
        <w:gridCol w:w="1053"/>
        <w:gridCol w:w="1053"/>
        <w:gridCol w:w="1053"/>
        <w:gridCol w:w="960"/>
        <w:gridCol w:w="960"/>
        <w:gridCol w:w="1053"/>
        <w:gridCol w:w="1053"/>
        <w:gridCol w:w="1053"/>
      </w:tblGrid>
      <w:tr w:rsidR="00C0536B" w:rsidRPr="004543BA" w14:paraId="6580B19E" w14:textId="77777777" w:rsidTr="00C0536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D3F89"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pollutant</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668B29B5"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mean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3CBF4C7"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median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27A189C" w14:textId="77777777" w:rsidR="00C0536B" w:rsidRPr="004543BA" w:rsidRDefault="00C0536B" w:rsidP="004543BA">
            <w:pPr>
              <w:spacing w:after="0" w:line="240" w:lineRule="auto"/>
              <w:rPr>
                <w:rFonts w:ascii="Calibri" w:eastAsia="Times New Roman" w:hAnsi="Calibri" w:cs="Calibri"/>
                <w:color w:val="000000"/>
              </w:rPr>
            </w:pPr>
            <w:proofErr w:type="spellStart"/>
            <w:r w:rsidRPr="004543BA">
              <w:rPr>
                <w:rFonts w:ascii="Calibri" w:eastAsia="Times New Roman" w:hAnsi="Calibri" w:cs="Calibri"/>
                <w:color w:val="000000"/>
              </w:rPr>
              <w:t>sd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10EF9DA"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941097"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min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94D3604"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max</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17A491E"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lower.95</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B53B62D"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upper.95</w:t>
            </w:r>
          </w:p>
        </w:tc>
      </w:tr>
      <w:tr w:rsidR="00C0536B" w:rsidRPr="004543BA" w14:paraId="7EC6DA23" w14:textId="77777777" w:rsidTr="00C0536B">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152AD477"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CO</w:t>
            </w:r>
          </w:p>
        </w:tc>
        <w:tc>
          <w:tcPr>
            <w:tcW w:w="1053" w:type="dxa"/>
            <w:tcBorders>
              <w:top w:val="nil"/>
              <w:left w:val="nil"/>
              <w:bottom w:val="single" w:sz="4" w:space="0" w:color="auto"/>
              <w:right w:val="single" w:sz="4" w:space="0" w:color="auto"/>
            </w:tcBorders>
            <w:shd w:val="clear" w:color="auto" w:fill="auto"/>
            <w:noWrap/>
            <w:vAlign w:val="bottom"/>
            <w:hideMark/>
          </w:tcPr>
          <w:p w14:paraId="27259972"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13.59425</w:t>
            </w:r>
          </w:p>
        </w:tc>
        <w:tc>
          <w:tcPr>
            <w:tcW w:w="1053" w:type="dxa"/>
            <w:tcBorders>
              <w:top w:val="nil"/>
              <w:left w:val="nil"/>
              <w:bottom w:val="single" w:sz="4" w:space="0" w:color="auto"/>
              <w:right w:val="single" w:sz="4" w:space="0" w:color="auto"/>
            </w:tcBorders>
            <w:shd w:val="clear" w:color="auto" w:fill="auto"/>
            <w:noWrap/>
            <w:vAlign w:val="bottom"/>
            <w:hideMark/>
          </w:tcPr>
          <w:p w14:paraId="687C7770"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6.759731</w:t>
            </w:r>
          </w:p>
        </w:tc>
        <w:tc>
          <w:tcPr>
            <w:tcW w:w="1053" w:type="dxa"/>
            <w:tcBorders>
              <w:top w:val="nil"/>
              <w:left w:val="nil"/>
              <w:bottom w:val="single" w:sz="4" w:space="0" w:color="auto"/>
              <w:right w:val="single" w:sz="4" w:space="0" w:color="auto"/>
            </w:tcBorders>
            <w:shd w:val="clear" w:color="auto" w:fill="auto"/>
            <w:noWrap/>
            <w:vAlign w:val="bottom"/>
            <w:hideMark/>
          </w:tcPr>
          <w:p w14:paraId="09FEF967"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30.53268</w:t>
            </w:r>
          </w:p>
        </w:tc>
        <w:tc>
          <w:tcPr>
            <w:tcW w:w="960" w:type="dxa"/>
            <w:tcBorders>
              <w:top w:val="nil"/>
              <w:left w:val="nil"/>
              <w:bottom w:val="single" w:sz="4" w:space="0" w:color="auto"/>
              <w:right w:val="single" w:sz="4" w:space="0" w:color="auto"/>
            </w:tcBorders>
            <w:shd w:val="clear" w:color="auto" w:fill="auto"/>
            <w:noWrap/>
            <w:vAlign w:val="bottom"/>
            <w:hideMark/>
          </w:tcPr>
          <w:p w14:paraId="15B2A59C"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880633"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-18.2548</w:t>
            </w:r>
          </w:p>
        </w:tc>
        <w:tc>
          <w:tcPr>
            <w:tcW w:w="1053" w:type="dxa"/>
            <w:tcBorders>
              <w:top w:val="nil"/>
              <w:left w:val="nil"/>
              <w:bottom w:val="single" w:sz="4" w:space="0" w:color="auto"/>
              <w:right w:val="single" w:sz="4" w:space="0" w:color="auto"/>
            </w:tcBorders>
            <w:shd w:val="clear" w:color="auto" w:fill="auto"/>
            <w:noWrap/>
            <w:vAlign w:val="bottom"/>
            <w:hideMark/>
          </w:tcPr>
          <w:p w14:paraId="5A6292AA"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190.3729</w:t>
            </w:r>
          </w:p>
        </w:tc>
        <w:tc>
          <w:tcPr>
            <w:tcW w:w="1053" w:type="dxa"/>
            <w:tcBorders>
              <w:top w:val="nil"/>
              <w:left w:val="nil"/>
              <w:bottom w:val="single" w:sz="4" w:space="0" w:color="auto"/>
              <w:right w:val="single" w:sz="4" w:space="0" w:color="auto"/>
            </w:tcBorders>
            <w:shd w:val="clear" w:color="auto" w:fill="auto"/>
            <w:noWrap/>
            <w:vAlign w:val="bottom"/>
            <w:hideMark/>
          </w:tcPr>
          <w:p w14:paraId="40B6601A"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4.828864</w:t>
            </w:r>
          </w:p>
        </w:tc>
        <w:tc>
          <w:tcPr>
            <w:tcW w:w="1053" w:type="dxa"/>
            <w:tcBorders>
              <w:top w:val="nil"/>
              <w:left w:val="nil"/>
              <w:bottom w:val="single" w:sz="4" w:space="0" w:color="auto"/>
              <w:right w:val="single" w:sz="4" w:space="0" w:color="auto"/>
            </w:tcBorders>
            <w:shd w:val="clear" w:color="auto" w:fill="auto"/>
            <w:noWrap/>
            <w:vAlign w:val="bottom"/>
            <w:hideMark/>
          </w:tcPr>
          <w:p w14:paraId="2F919326"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22.35964</w:t>
            </w:r>
          </w:p>
        </w:tc>
      </w:tr>
      <w:tr w:rsidR="00C0536B" w:rsidRPr="004543BA" w14:paraId="7547C6C6" w14:textId="77777777" w:rsidTr="00C0536B">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2DAB7FE7"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HC</w:t>
            </w:r>
          </w:p>
        </w:tc>
        <w:tc>
          <w:tcPr>
            <w:tcW w:w="1053" w:type="dxa"/>
            <w:tcBorders>
              <w:top w:val="nil"/>
              <w:left w:val="nil"/>
              <w:bottom w:val="single" w:sz="4" w:space="0" w:color="auto"/>
              <w:right w:val="single" w:sz="4" w:space="0" w:color="auto"/>
            </w:tcBorders>
            <w:shd w:val="clear" w:color="auto" w:fill="auto"/>
            <w:noWrap/>
            <w:vAlign w:val="bottom"/>
            <w:hideMark/>
          </w:tcPr>
          <w:p w14:paraId="27569F41"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5.590014</w:t>
            </w:r>
          </w:p>
        </w:tc>
        <w:tc>
          <w:tcPr>
            <w:tcW w:w="1053" w:type="dxa"/>
            <w:tcBorders>
              <w:top w:val="nil"/>
              <w:left w:val="nil"/>
              <w:bottom w:val="single" w:sz="4" w:space="0" w:color="auto"/>
              <w:right w:val="single" w:sz="4" w:space="0" w:color="auto"/>
            </w:tcBorders>
            <w:shd w:val="clear" w:color="auto" w:fill="auto"/>
            <w:noWrap/>
            <w:vAlign w:val="bottom"/>
            <w:hideMark/>
          </w:tcPr>
          <w:p w14:paraId="41284E64"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4.538387</w:t>
            </w:r>
          </w:p>
        </w:tc>
        <w:tc>
          <w:tcPr>
            <w:tcW w:w="1053" w:type="dxa"/>
            <w:tcBorders>
              <w:top w:val="nil"/>
              <w:left w:val="nil"/>
              <w:bottom w:val="single" w:sz="4" w:space="0" w:color="auto"/>
              <w:right w:val="single" w:sz="4" w:space="0" w:color="auto"/>
            </w:tcBorders>
            <w:shd w:val="clear" w:color="auto" w:fill="auto"/>
            <w:noWrap/>
            <w:vAlign w:val="bottom"/>
            <w:hideMark/>
          </w:tcPr>
          <w:p w14:paraId="42541AA2"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21.32577</w:t>
            </w:r>
          </w:p>
        </w:tc>
        <w:tc>
          <w:tcPr>
            <w:tcW w:w="960" w:type="dxa"/>
            <w:tcBorders>
              <w:top w:val="nil"/>
              <w:left w:val="nil"/>
              <w:bottom w:val="single" w:sz="4" w:space="0" w:color="auto"/>
              <w:right w:val="single" w:sz="4" w:space="0" w:color="auto"/>
            </w:tcBorders>
            <w:shd w:val="clear" w:color="auto" w:fill="auto"/>
            <w:noWrap/>
            <w:vAlign w:val="bottom"/>
            <w:hideMark/>
          </w:tcPr>
          <w:p w14:paraId="2F8E9D8E"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3F2F39"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-31.9126</w:t>
            </w:r>
          </w:p>
        </w:tc>
        <w:tc>
          <w:tcPr>
            <w:tcW w:w="1053" w:type="dxa"/>
            <w:tcBorders>
              <w:top w:val="nil"/>
              <w:left w:val="nil"/>
              <w:bottom w:val="single" w:sz="4" w:space="0" w:color="auto"/>
              <w:right w:val="single" w:sz="4" w:space="0" w:color="auto"/>
            </w:tcBorders>
            <w:shd w:val="clear" w:color="auto" w:fill="auto"/>
            <w:noWrap/>
            <w:vAlign w:val="bottom"/>
            <w:hideMark/>
          </w:tcPr>
          <w:p w14:paraId="4C0360FE"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113.5856</w:t>
            </w:r>
          </w:p>
        </w:tc>
        <w:tc>
          <w:tcPr>
            <w:tcW w:w="1053" w:type="dxa"/>
            <w:tcBorders>
              <w:top w:val="nil"/>
              <w:left w:val="nil"/>
              <w:bottom w:val="single" w:sz="4" w:space="0" w:color="auto"/>
              <w:right w:val="single" w:sz="4" w:space="0" w:color="auto"/>
            </w:tcBorders>
            <w:shd w:val="clear" w:color="auto" w:fill="auto"/>
            <w:noWrap/>
            <w:vAlign w:val="bottom"/>
            <w:hideMark/>
          </w:tcPr>
          <w:p w14:paraId="3F4DA44D"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-0.53223</w:t>
            </w:r>
          </w:p>
        </w:tc>
        <w:tc>
          <w:tcPr>
            <w:tcW w:w="1053" w:type="dxa"/>
            <w:tcBorders>
              <w:top w:val="nil"/>
              <w:left w:val="nil"/>
              <w:bottom w:val="single" w:sz="4" w:space="0" w:color="auto"/>
              <w:right w:val="single" w:sz="4" w:space="0" w:color="auto"/>
            </w:tcBorders>
            <w:shd w:val="clear" w:color="auto" w:fill="auto"/>
            <w:noWrap/>
            <w:vAlign w:val="bottom"/>
            <w:hideMark/>
          </w:tcPr>
          <w:p w14:paraId="20A501EE"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11.71226</w:t>
            </w:r>
          </w:p>
        </w:tc>
      </w:tr>
      <w:tr w:rsidR="00C0536B" w:rsidRPr="004543BA" w14:paraId="3CA835D3" w14:textId="77777777" w:rsidTr="00C0536B">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5DA1866D"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NH3</w:t>
            </w:r>
          </w:p>
        </w:tc>
        <w:tc>
          <w:tcPr>
            <w:tcW w:w="1053" w:type="dxa"/>
            <w:tcBorders>
              <w:top w:val="nil"/>
              <w:left w:val="nil"/>
              <w:bottom w:val="single" w:sz="4" w:space="0" w:color="auto"/>
              <w:right w:val="single" w:sz="4" w:space="0" w:color="auto"/>
            </w:tcBorders>
            <w:shd w:val="clear" w:color="auto" w:fill="auto"/>
            <w:noWrap/>
            <w:vAlign w:val="bottom"/>
            <w:hideMark/>
          </w:tcPr>
          <w:p w14:paraId="18AEDE0A"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0.133595</w:t>
            </w:r>
          </w:p>
        </w:tc>
        <w:tc>
          <w:tcPr>
            <w:tcW w:w="1053" w:type="dxa"/>
            <w:tcBorders>
              <w:top w:val="nil"/>
              <w:left w:val="nil"/>
              <w:bottom w:val="single" w:sz="4" w:space="0" w:color="auto"/>
              <w:right w:val="single" w:sz="4" w:space="0" w:color="auto"/>
            </w:tcBorders>
            <w:shd w:val="clear" w:color="auto" w:fill="auto"/>
            <w:noWrap/>
            <w:vAlign w:val="bottom"/>
            <w:hideMark/>
          </w:tcPr>
          <w:p w14:paraId="0788E254"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0.070125</w:t>
            </w:r>
          </w:p>
        </w:tc>
        <w:tc>
          <w:tcPr>
            <w:tcW w:w="1053" w:type="dxa"/>
            <w:tcBorders>
              <w:top w:val="nil"/>
              <w:left w:val="nil"/>
              <w:bottom w:val="single" w:sz="4" w:space="0" w:color="auto"/>
              <w:right w:val="single" w:sz="4" w:space="0" w:color="auto"/>
            </w:tcBorders>
            <w:shd w:val="clear" w:color="auto" w:fill="auto"/>
            <w:noWrap/>
            <w:vAlign w:val="bottom"/>
            <w:hideMark/>
          </w:tcPr>
          <w:p w14:paraId="295F68F0"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0.434446</w:t>
            </w:r>
          </w:p>
        </w:tc>
        <w:tc>
          <w:tcPr>
            <w:tcW w:w="960" w:type="dxa"/>
            <w:tcBorders>
              <w:top w:val="nil"/>
              <w:left w:val="nil"/>
              <w:bottom w:val="single" w:sz="4" w:space="0" w:color="auto"/>
              <w:right w:val="single" w:sz="4" w:space="0" w:color="auto"/>
            </w:tcBorders>
            <w:shd w:val="clear" w:color="auto" w:fill="auto"/>
            <w:noWrap/>
            <w:vAlign w:val="bottom"/>
            <w:hideMark/>
          </w:tcPr>
          <w:p w14:paraId="4C499069"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46</w:t>
            </w:r>
          </w:p>
        </w:tc>
        <w:tc>
          <w:tcPr>
            <w:tcW w:w="960" w:type="dxa"/>
            <w:tcBorders>
              <w:top w:val="nil"/>
              <w:left w:val="nil"/>
              <w:bottom w:val="single" w:sz="4" w:space="0" w:color="auto"/>
              <w:right w:val="single" w:sz="4" w:space="0" w:color="auto"/>
            </w:tcBorders>
            <w:shd w:val="clear" w:color="auto" w:fill="auto"/>
            <w:noWrap/>
            <w:vAlign w:val="bottom"/>
            <w:hideMark/>
          </w:tcPr>
          <w:p w14:paraId="3D35E216"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-0.41951</w:t>
            </w:r>
          </w:p>
        </w:tc>
        <w:tc>
          <w:tcPr>
            <w:tcW w:w="1053" w:type="dxa"/>
            <w:tcBorders>
              <w:top w:val="nil"/>
              <w:left w:val="nil"/>
              <w:bottom w:val="single" w:sz="4" w:space="0" w:color="auto"/>
              <w:right w:val="single" w:sz="4" w:space="0" w:color="auto"/>
            </w:tcBorders>
            <w:shd w:val="clear" w:color="auto" w:fill="auto"/>
            <w:noWrap/>
            <w:vAlign w:val="bottom"/>
            <w:hideMark/>
          </w:tcPr>
          <w:p w14:paraId="572F4CF1"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2.41061</w:t>
            </w:r>
          </w:p>
        </w:tc>
        <w:tc>
          <w:tcPr>
            <w:tcW w:w="1053" w:type="dxa"/>
            <w:tcBorders>
              <w:top w:val="nil"/>
              <w:left w:val="nil"/>
              <w:bottom w:val="single" w:sz="4" w:space="0" w:color="auto"/>
              <w:right w:val="single" w:sz="4" w:space="0" w:color="auto"/>
            </w:tcBorders>
            <w:shd w:val="clear" w:color="auto" w:fill="auto"/>
            <w:noWrap/>
            <w:vAlign w:val="bottom"/>
            <w:hideMark/>
          </w:tcPr>
          <w:p w14:paraId="4DB1B63E"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0.003155</w:t>
            </w:r>
          </w:p>
        </w:tc>
        <w:tc>
          <w:tcPr>
            <w:tcW w:w="1053" w:type="dxa"/>
            <w:tcBorders>
              <w:top w:val="nil"/>
              <w:left w:val="nil"/>
              <w:bottom w:val="single" w:sz="4" w:space="0" w:color="auto"/>
              <w:right w:val="single" w:sz="4" w:space="0" w:color="auto"/>
            </w:tcBorders>
            <w:shd w:val="clear" w:color="auto" w:fill="auto"/>
            <w:noWrap/>
            <w:vAlign w:val="bottom"/>
            <w:hideMark/>
          </w:tcPr>
          <w:p w14:paraId="35A9582B"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0.264035</w:t>
            </w:r>
          </w:p>
        </w:tc>
      </w:tr>
      <w:tr w:rsidR="00C0536B" w:rsidRPr="004543BA" w14:paraId="3C8F03C8" w14:textId="77777777" w:rsidTr="00C0536B">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1C25AF14"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NO</w:t>
            </w:r>
          </w:p>
        </w:tc>
        <w:tc>
          <w:tcPr>
            <w:tcW w:w="1053" w:type="dxa"/>
            <w:tcBorders>
              <w:top w:val="nil"/>
              <w:left w:val="nil"/>
              <w:bottom w:val="single" w:sz="4" w:space="0" w:color="auto"/>
              <w:right w:val="single" w:sz="4" w:space="0" w:color="auto"/>
            </w:tcBorders>
            <w:shd w:val="clear" w:color="auto" w:fill="auto"/>
            <w:noWrap/>
            <w:vAlign w:val="bottom"/>
            <w:hideMark/>
          </w:tcPr>
          <w:p w14:paraId="6CBA5A6B"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4.631564</w:t>
            </w:r>
          </w:p>
        </w:tc>
        <w:tc>
          <w:tcPr>
            <w:tcW w:w="1053" w:type="dxa"/>
            <w:tcBorders>
              <w:top w:val="nil"/>
              <w:left w:val="nil"/>
              <w:bottom w:val="single" w:sz="4" w:space="0" w:color="auto"/>
              <w:right w:val="single" w:sz="4" w:space="0" w:color="auto"/>
            </w:tcBorders>
            <w:shd w:val="clear" w:color="auto" w:fill="auto"/>
            <w:noWrap/>
            <w:vAlign w:val="bottom"/>
            <w:hideMark/>
          </w:tcPr>
          <w:p w14:paraId="442BB800"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0.164322</w:t>
            </w:r>
          </w:p>
        </w:tc>
        <w:tc>
          <w:tcPr>
            <w:tcW w:w="1053" w:type="dxa"/>
            <w:tcBorders>
              <w:top w:val="nil"/>
              <w:left w:val="nil"/>
              <w:bottom w:val="single" w:sz="4" w:space="0" w:color="auto"/>
              <w:right w:val="single" w:sz="4" w:space="0" w:color="auto"/>
            </w:tcBorders>
            <w:shd w:val="clear" w:color="auto" w:fill="auto"/>
            <w:noWrap/>
            <w:vAlign w:val="bottom"/>
            <w:hideMark/>
          </w:tcPr>
          <w:p w14:paraId="5C3EBF06"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10.75692</w:t>
            </w:r>
          </w:p>
        </w:tc>
        <w:tc>
          <w:tcPr>
            <w:tcW w:w="960" w:type="dxa"/>
            <w:tcBorders>
              <w:top w:val="nil"/>
              <w:left w:val="nil"/>
              <w:bottom w:val="single" w:sz="4" w:space="0" w:color="auto"/>
              <w:right w:val="single" w:sz="4" w:space="0" w:color="auto"/>
            </w:tcBorders>
            <w:shd w:val="clear" w:color="auto" w:fill="auto"/>
            <w:noWrap/>
            <w:vAlign w:val="bottom"/>
            <w:hideMark/>
          </w:tcPr>
          <w:p w14:paraId="6E334003"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2BB671"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-1.56201</w:t>
            </w:r>
          </w:p>
        </w:tc>
        <w:tc>
          <w:tcPr>
            <w:tcW w:w="1053" w:type="dxa"/>
            <w:tcBorders>
              <w:top w:val="nil"/>
              <w:left w:val="nil"/>
              <w:bottom w:val="single" w:sz="4" w:space="0" w:color="auto"/>
              <w:right w:val="single" w:sz="4" w:space="0" w:color="auto"/>
            </w:tcBorders>
            <w:shd w:val="clear" w:color="auto" w:fill="auto"/>
            <w:noWrap/>
            <w:vAlign w:val="bottom"/>
            <w:hideMark/>
          </w:tcPr>
          <w:p w14:paraId="0B02D091"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46.8546</w:t>
            </w:r>
          </w:p>
        </w:tc>
        <w:tc>
          <w:tcPr>
            <w:tcW w:w="1053" w:type="dxa"/>
            <w:tcBorders>
              <w:top w:val="nil"/>
              <w:left w:val="nil"/>
              <w:bottom w:val="single" w:sz="4" w:space="0" w:color="auto"/>
              <w:right w:val="single" w:sz="4" w:space="0" w:color="auto"/>
            </w:tcBorders>
            <w:shd w:val="clear" w:color="auto" w:fill="auto"/>
            <w:noWrap/>
            <w:vAlign w:val="bottom"/>
            <w:hideMark/>
          </w:tcPr>
          <w:p w14:paraId="78B481A0"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1.543446</w:t>
            </w:r>
          </w:p>
        </w:tc>
        <w:tc>
          <w:tcPr>
            <w:tcW w:w="1053" w:type="dxa"/>
            <w:tcBorders>
              <w:top w:val="nil"/>
              <w:left w:val="nil"/>
              <w:bottom w:val="single" w:sz="4" w:space="0" w:color="auto"/>
              <w:right w:val="single" w:sz="4" w:space="0" w:color="auto"/>
            </w:tcBorders>
            <w:shd w:val="clear" w:color="auto" w:fill="auto"/>
            <w:noWrap/>
            <w:vAlign w:val="bottom"/>
            <w:hideMark/>
          </w:tcPr>
          <w:p w14:paraId="3FDDD707"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7.719683</w:t>
            </w:r>
          </w:p>
        </w:tc>
      </w:tr>
      <w:tr w:rsidR="00C0536B" w:rsidRPr="004543BA" w14:paraId="0701B480" w14:textId="77777777" w:rsidTr="00C0536B">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5590DA22" w14:textId="77777777" w:rsidR="00C0536B" w:rsidRPr="004543BA" w:rsidRDefault="00C0536B" w:rsidP="004543BA">
            <w:pPr>
              <w:spacing w:after="0" w:line="240" w:lineRule="auto"/>
              <w:rPr>
                <w:rFonts w:ascii="Calibri" w:eastAsia="Times New Roman" w:hAnsi="Calibri" w:cs="Calibri"/>
                <w:color w:val="000000"/>
              </w:rPr>
            </w:pPr>
            <w:r w:rsidRPr="004543BA">
              <w:rPr>
                <w:rFonts w:ascii="Calibri" w:eastAsia="Times New Roman" w:hAnsi="Calibri" w:cs="Calibri"/>
                <w:color w:val="000000"/>
              </w:rPr>
              <w:t>NO2</w:t>
            </w:r>
          </w:p>
        </w:tc>
        <w:tc>
          <w:tcPr>
            <w:tcW w:w="1053" w:type="dxa"/>
            <w:tcBorders>
              <w:top w:val="nil"/>
              <w:left w:val="nil"/>
              <w:bottom w:val="single" w:sz="4" w:space="0" w:color="auto"/>
              <w:right w:val="single" w:sz="4" w:space="0" w:color="auto"/>
            </w:tcBorders>
            <w:shd w:val="clear" w:color="auto" w:fill="auto"/>
            <w:noWrap/>
            <w:vAlign w:val="bottom"/>
            <w:hideMark/>
          </w:tcPr>
          <w:p w14:paraId="310D3952"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0.536723</w:t>
            </w:r>
          </w:p>
        </w:tc>
        <w:tc>
          <w:tcPr>
            <w:tcW w:w="1053" w:type="dxa"/>
            <w:tcBorders>
              <w:top w:val="nil"/>
              <w:left w:val="nil"/>
              <w:bottom w:val="single" w:sz="4" w:space="0" w:color="auto"/>
              <w:right w:val="single" w:sz="4" w:space="0" w:color="auto"/>
            </w:tcBorders>
            <w:shd w:val="clear" w:color="auto" w:fill="auto"/>
            <w:noWrap/>
            <w:vAlign w:val="bottom"/>
            <w:hideMark/>
          </w:tcPr>
          <w:p w14:paraId="635CD900"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0.423853</w:t>
            </w:r>
          </w:p>
        </w:tc>
        <w:tc>
          <w:tcPr>
            <w:tcW w:w="1053" w:type="dxa"/>
            <w:tcBorders>
              <w:top w:val="nil"/>
              <w:left w:val="nil"/>
              <w:bottom w:val="single" w:sz="4" w:space="0" w:color="auto"/>
              <w:right w:val="single" w:sz="4" w:space="0" w:color="auto"/>
            </w:tcBorders>
            <w:shd w:val="clear" w:color="auto" w:fill="auto"/>
            <w:noWrap/>
            <w:vAlign w:val="bottom"/>
            <w:hideMark/>
          </w:tcPr>
          <w:p w14:paraId="7BFDC983"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1.270595</w:t>
            </w:r>
          </w:p>
        </w:tc>
        <w:tc>
          <w:tcPr>
            <w:tcW w:w="960" w:type="dxa"/>
            <w:tcBorders>
              <w:top w:val="nil"/>
              <w:left w:val="nil"/>
              <w:bottom w:val="single" w:sz="4" w:space="0" w:color="auto"/>
              <w:right w:val="single" w:sz="4" w:space="0" w:color="auto"/>
            </w:tcBorders>
            <w:shd w:val="clear" w:color="auto" w:fill="auto"/>
            <w:noWrap/>
            <w:vAlign w:val="bottom"/>
            <w:hideMark/>
          </w:tcPr>
          <w:p w14:paraId="522891BD"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14:paraId="796BCFE8"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-2.16289</w:t>
            </w:r>
          </w:p>
        </w:tc>
        <w:tc>
          <w:tcPr>
            <w:tcW w:w="1053" w:type="dxa"/>
            <w:tcBorders>
              <w:top w:val="nil"/>
              <w:left w:val="nil"/>
              <w:bottom w:val="single" w:sz="4" w:space="0" w:color="auto"/>
              <w:right w:val="single" w:sz="4" w:space="0" w:color="auto"/>
            </w:tcBorders>
            <w:shd w:val="clear" w:color="auto" w:fill="auto"/>
            <w:noWrap/>
            <w:vAlign w:val="bottom"/>
            <w:hideMark/>
          </w:tcPr>
          <w:p w14:paraId="3813E5BA"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3.984007</w:t>
            </w:r>
          </w:p>
        </w:tc>
        <w:tc>
          <w:tcPr>
            <w:tcW w:w="1053" w:type="dxa"/>
            <w:tcBorders>
              <w:top w:val="nil"/>
              <w:left w:val="nil"/>
              <w:bottom w:val="single" w:sz="4" w:space="0" w:color="auto"/>
              <w:right w:val="single" w:sz="4" w:space="0" w:color="auto"/>
            </w:tcBorders>
            <w:shd w:val="clear" w:color="auto" w:fill="auto"/>
            <w:noWrap/>
            <w:vAlign w:val="bottom"/>
            <w:hideMark/>
          </w:tcPr>
          <w:p w14:paraId="220484E6"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0.04486</w:t>
            </w:r>
          </w:p>
        </w:tc>
        <w:tc>
          <w:tcPr>
            <w:tcW w:w="1053" w:type="dxa"/>
            <w:tcBorders>
              <w:top w:val="nil"/>
              <w:left w:val="nil"/>
              <w:bottom w:val="single" w:sz="4" w:space="0" w:color="auto"/>
              <w:right w:val="single" w:sz="4" w:space="0" w:color="auto"/>
            </w:tcBorders>
            <w:shd w:val="clear" w:color="auto" w:fill="auto"/>
            <w:noWrap/>
            <w:vAlign w:val="bottom"/>
            <w:hideMark/>
          </w:tcPr>
          <w:p w14:paraId="226B3CA1" w14:textId="77777777" w:rsidR="00C0536B" w:rsidRPr="004543BA" w:rsidRDefault="00C0536B" w:rsidP="004543BA">
            <w:pPr>
              <w:spacing w:after="0" w:line="240" w:lineRule="auto"/>
              <w:jc w:val="right"/>
              <w:rPr>
                <w:rFonts w:ascii="Calibri" w:eastAsia="Times New Roman" w:hAnsi="Calibri" w:cs="Calibri"/>
                <w:color w:val="000000"/>
              </w:rPr>
            </w:pPr>
            <w:r w:rsidRPr="004543BA">
              <w:rPr>
                <w:rFonts w:ascii="Calibri" w:eastAsia="Times New Roman" w:hAnsi="Calibri" w:cs="Calibri"/>
                <w:color w:val="000000"/>
              </w:rPr>
              <w:t>1.028586</w:t>
            </w:r>
          </w:p>
        </w:tc>
      </w:tr>
    </w:tbl>
    <w:p w14:paraId="0583C6EF" w14:textId="77777777" w:rsidR="004543BA" w:rsidRDefault="004543BA" w:rsidP="009F1FE3">
      <w:pPr>
        <w:pStyle w:val="ListParagraph"/>
        <w:ind w:left="360"/>
      </w:pPr>
    </w:p>
    <w:p w14:paraId="518B1CFA" w14:textId="77777777" w:rsidR="009F1FE3" w:rsidRDefault="009F1FE3" w:rsidP="009F1FE3">
      <w:pPr>
        <w:pStyle w:val="ListParagraph"/>
        <w:ind w:left="360"/>
      </w:pPr>
    </w:p>
    <w:p w14:paraId="52E3BDEF" w14:textId="45AEDA4A" w:rsidR="00B555AF" w:rsidRDefault="00B555AF" w:rsidP="006B0853">
      <w:pPr>
        <w:pStyle w:val="ListParagraph"/>
        <w:numPr>
          <w:ilvl w:val="1"/>
          <w:numId w:val="1"/>
        </w:numPr>
      </w:pPr>
      <w:r>
        <w:t xml:space="preserve">Use </w:t>
      </w:r>
      <w:r w:rsidR="00BB2BF5">
        <w:t>the</w:t>
      </w:r>
      <w:r w:rsidR="007E1DC8">
        <w:t xml:space="preserve"> road-side emission factors (g/kg-fuel)</w:t>
      </w:r>
      <w:r>
        <w:t xml:space="preserve"> to estimate the total amount of NO</w:t>
      </w:r>
      <w:r w:rsidR="00453565">
        <w:t>x (NO + NO2)</w:t>
      </w:r>
      <w:r>
        <w:t xml:space="preserve"> emitted</w:t>
      </w:r>
      <w:r w:rsidR="00F41506">
        <w:t xml:space="preserve"> from gasoline and diesel</w:t>
      </w:r>
      <w:r w:rsidR="00A7249E">
        <w:t xml:space="preserve"> in Utah</w:t>
      </w:r>
      <w:r w:rsidR="001254CF">
        <w:t xml:space="preserve">. </w:t>
      </w:r>
    </w:p>
    <w:p w14:paraId="00887F7B" w14:textId="07EF7577" w:rsidR="001254CF" w:rsidRDefault="001254CF" w:rsidP="001254CF">
      <w:pPr>
        <w:pStyle w:val="ListParagraph"/>
        <w:ind w:left="792"/>
      </w:pPr>
    </w:p>
    <w:p w14:paraId="64854BA1" w14:textId="5D2F758C" w:rsidR="001254CF" w:rsidRDefault="001254CF" w:rsidP="001254CF">
      <w:pPr>
        <w:pStyle w:val="ListParagraph"/>
        <w:ind w:left="792"/>
      </w:pPr>
      <w:r>
        <w:t xml:space="preserve">You can </w:t>
      </w:r>
      <w:r w:rsidR="00587B5C">
        <w:t>use the energy density provided in the MOVES fuel report</w:t>
      </w:r>
      <w:r w:rsidR="00C0289C">
        <w:t>. The density of gasoline is 2.839 kg/gallon, and the density diesel is 3.167 kg/gallon</w:t>
      </w:r>
      <w:r w:rsidR="00587B5C">
        <w:t xml:space="preserve"> </w:t>
      </w:r>
      <w:r w:rsidR="00CF1B2A">
        <w:fldChar w:fldCharType="begin"/>
      </w:r>
      <w:r w:rsidR="00D03207">
        <w:instrText xml:space="preserve"> ADDIN ZOTERO_ITEM CSL_CITATION {"citationID":"Uie5iO8E","properties":{"formattedCitation":"[5]","plainCitation":"[5]","noteIndex":0},"citationItems":[{"id":4533,"uris":["http://zotero.org/groups/310273/items/SKNLKD69"],"itemData":{"id":4533,"type":"report","event-place":"Ann Arbor, MI, USA","number":"EPA-420-R-20-015","publisher":"Office of Transportation and Air Quality, U.S. Environmental Protection Agency","publisher-place":"Ann Arbor, MI, USA","title":"Greenhouse Gas and Energy Consumption Rates for Onroad Vehicles in MOVES3","URL":"https://www.epa.gov/moves/moves-onroad-technical-reports","author":[{"literal":"USEPA"}],"issued":{"date-parts":[["2020",11]]}}}],"schema":"https://github.com/citation-style-language/schema/raw/master/csl-citation.json"} </w:instrText>
      </w:r>
      <w:r w:rsidR="00CF1B2A">
        <w:fldChar w:fldCharType="separate"/>
      </w:r>
      <w:r w:rsidR="00D03207" w:rsidRPr="00D03207">
        <w:rPr>
          <w:rFonts w:ascii="Calibri" w:hAnsi="Calibri" w:cs="Calibri"/>
        </w:rPr>
        <w:t>[5]</w:t>
      </w:r>
      <w:r w:rsidR="00CF1B2A">
        <w:fldChar w:fldCharType="end"/>
      </w:r>
    </w:p>
    <w:p w14:paraId="298F6517" w14:textId="77777777" w:rsidR="001254CF" w:rsidRDefault="001254CF" w:rsidP="001254CF">
      <w:pPr>
        <w:pStyle w:val="ListParagraph"/>
        <w:ind w:left="792"/>
      </w:pPr>
    </w:p>
    <w:p w14:paraId="4D181D6C" w14:textId="5FF911B6" w:rsidR="00A7249E" w:rsidRDefault="00A7249E" w:rsidP="006B0853">
      <w:pPr>
        <w:pStyle w:val="ListParagraph"/>
        <w:numPr>
          <w:ilvl w:val="1"/>
          <w:numId w:val="1"/>
        </w:numPr>
      </w:pPr>
      <w:r>
        <w:t xml:space="preserve">Calculate the % contribution </w:t>
      </w:r>
      <w:r w:rsidR="00C0289C">
        <w:t>of vehicle NO</w:t>
      </w:r>
      <w:r w:rsidR="00453565">
        <w:t>x</w:t>
      </w:r>
      <w:r w:rsidR="00C0289C">
        <w:t xml:space="preserve"> </w:t>
      </w:r>
      <w:r>
        <w:t xml:space="preserve">from gasoline and </w:t>
      </w:r>
      <w:r w:rsidR="00C0289C">
        <w:t xml:space="preserve">diesel vehicles. </w:t>
      </w:r>
    </w:p>
    <w:p w14:paraId="2EEEE500" w14:textId="77777777" w:rsidR="00C0289C" w:rsidRDefault="00C0289C" w:rsidP="00C0289C">
      <w:pPr>
        <w:pStyle w:val="ListParagraph"/>
        <w:ind w:left="792"/>
      </w:pPr>
    </w:p>
    <w:p w14:paraId="5258B390" w14:textId="5B585166" w:rsidR="006B0853" w:rsidRDefault="006B0853" w:rsidP="006B0853">
      <w:pPr>
        <w:pStyle w:val="ListParagraph"/>
        <w:numPr>
          <w:ilvl w:val="1"/>
          <w:numId w:val="1"/>
        </w:numPr>
      </w:pPr>
      <w:r>
        <w:t xml:space="preserve">How does </w:t>
      </w:r>
      <w:r w:rsidR="00FE3715">
        <w:t xml:space="preserve">the </w:t>
      </w:r>
      <w:r w:rsidR="00A7249E">
        <w:t>% contribution from gasoline and diesel</w:t>
      </w:r>
      <w:r w:rsidR="00453565">
        <w:t xml:space="preserve"> vehicles</w:t>
      </w:r>
      <w:r w:rsidR="00A7249E">
        <w:t xml:space="preserve"> </w:t>
      </w:r>
      <w:r>
        <w:t xml:space="preserve">compare to the </w:t>
      </w:r>
      <w:r w:rsidR="00B555AF">
        <w:t>NOx emission distr</w:t>
      </w:r>
      <w:r w:rsidR="00F41506">
        <w:t xml:space="preserve">ibution estimated for Salt Lake City using MOVES in </w:t>
      </w:r>
      <w:r w:rsidR="00354B59">
        <w:t>H</w:t>
      </w:r>
      <w:r w:rsidR="00F41506">
        <w:t xml:space="preserve">omework </w:t>
      </w:r>
      <w:r w:rsidR="00354B59">
        <w:t>#</w:t>
      </w:r>
      <w:r w:rsidR="00F41506">
        <w:t>3?</w:t>
      </w:r>
    </w:p>
    <w:p w14:paraId="659C122F" w14:textId="77777777" w:rsidR="00C0289C" w:rsidRDefault="00C0289C" w:rsidP="00C0289C">
      <w:pPr>
        <w:pStyle w:val="ListParagraph"/>
      </w:pPr>
    </w:p>
    <w:p w14:paraId="270A4B5C" w14:textId="77777777" w:rsidR="002D660A" w:rsidRDefault="002D660A" w:rsidP="006B0853">
      <w:pPr>
        <w:pStyle w:val="ListParagraph"/>
        <w:numPr>
          <w:ilvl w:val="1"/>
          <w:numId w:val="1"/>
        </w:numPr>
      </w:pPr>
      <w:r>
        <w:t>Do you expect the two estimates to differ from one another? Why?</w:t>
      </w:r>
    </w:p>
    <w:p w14:paraId="50F9CEB4" w14:textId="77777777" w:rsidR="002D660A" w:rsidRDefault="002D660A" w:rsidP="002D660A">
      <w:pPr>
        <w:pStyle w:val="ListParagraph"/>
      </w:pPr>
    </w:p>
    <w:p w14:paraId="4B442FF2" w14:textId="7250DBFD" w:rsidR="00C7116D" w:rsidRDefault="00101DB8" w:rsidP="0033029A">
      <w:pPr>
        <w:pStyle w:val="ListParagraph"/>
        <w:numPr>
          <w:ilvl w:val="1"/>
          <w:numId w:val="1"/>
        </w:numPr>
        <w:ind w:left="720"/>
      </w:pPr>
      <w:r>
        <w:t xml:space="preserve">What </w:t>
      </w:r>
      <w:r w:rsidR="003907D5">
        <w:t>answer</w:t>
      </w:r>
      <w:r>
        <w:t xml:space="preserve"> </w:t>
      </w:r>
      <w:r w:rsidR="0070599A">
        <w:t xml:space="preserve">do </w:t>
      </w:r>
      <w:r w:rsidR="0033029A">
        <w:t>you think is more representative</w:t>
      </w:r>
      <w:r w:rsidR="003907D5">
        <w:t xml:space="preserve"> of the real-world emissions</w:t>
      </w:r>
      <w:r w:rsidR="00A7575C">
        <w:t xml:space="preserve"> in Utah</w:t>
      </w:r>
      <w:r w:rsidR="003907D5">
        <w:t>?</w:t>
      </w:r>
    </w:p>
    <w:p w14:paraId="57AA2FE8" w14:textId="77777777" w:rsidR="0045230B" w:rsidRDefault="0045230B" w:rsidP="0045230B">
      <w:pPr>
        <w:pStyle w:val="ListParagraph"/>
      </w:pPr>
    </w:p>
    <w:p w14:paraId="4FDA6D06" w14:textId="77777777" w:rsidR="0045230B" w:rsidRDefault="0045230B" w:rsidP="0045230B">
      <w:pPr>
        <w:pStyle w:val="ListParagraph"/>
        <w:numPr>
          <w:ilvl w:val="0"/>
          <w:numId w:val="1"/>
        </w:numPr>
      </w:pPr>
      <w:r>
        <w:t xml:space="preserve">Ideally, we would have more measurement locations and data. Use the hypothetical data in the CO.site.average.date.2023.csv, calculate the average CO gasoline vehicle emission rate for Utah County with 95% CI. </w:t>
      </w:r>
    </w:p>
    <w:p w14:paraId="09956071" w14:textId="13F1BCE4" w:rsidR="0045230B" w:rsidRDefault="0045230B" w:rsidP="0045230B">
      <w:pPr>
        <w:pStyle w:val="ListParagraph"/>
        <w:numPr>
          <w:ilvl w:val="1"/>
          <w:numId w:val="1"/>
        </w:numPr>
      </w:pPr>
      <w:r>
        <w:t>What are you using as your random, independent variable?</w:t>
      </w:r>
    </w:p>
    <w:p w14:paraId="3BE82908" w14:textId="79999618" w:rsidR="003E43CF" w:rsidRDefault="003E43CF" w:rsidP="003E43CF"/>
    <w:p w14:paraId="14200EAF" w14:textId="77777777" w:rsidR="003E43CF" w:rsidRDefault="003E43CF" w:rsidP="003E43CF"/>
    <w:p w14:paraId="5DF5718E" w14:textId="77777777" w:rsidR="003E43CF" w:rsidRPr="003E43CF" w:rsidRDefault="003E43CF" w:rsidP="003E43CF">
      <w:pPr>
        <w:pStyle w:val="Bibliography"/>
        <w:rPr>
          <w:rFonts w:ascii="Calibri" w:hAnsi="Calibri" w:cs="Calibri"/>
        </w:rPr>
      </w:pPr>
      <w:r>
        <w:fldChar w:fldCharType="begin"/>
      </w:r>
      <w:r>
        <w:instrText xml:space="preserve"> ADDIN ZOTERO_BIBL {"uncited":[],"omitted":[],"custom":[]} CSL_BIBLIOGRAPHY </w:instrText>
      </w:r>
      <w:r>
        <w:fldChar w:fldCharType="separate"/>
      </w:r>
      <w:r w:rsidRPr="003E43CF">
        <w:rPr>
          <w:rFonts w:ascii="Calibri" w:hAnsi="Calibri" w:cs="Calibri"/>
        </w:rPr>
        <w:t>[1]</w:t>
      </w:r>
      <w:r w:rsidRPr="003E43CF">
        <w:rPr>
          <w:rFonts w:ascii="Calibri" w:hAnsi="Calibri" w:cs="Calibri"/>
        </w:rPr>
        <w:tab/>
        <w:t xml:space="preserve">G. A. Bishop and D. H. Stedman, “A Decade of On-road Emissions Measurements,” </w:t>
      </w:r>
      <w:r w:rsidRPr="003E43CF">
        <w:rPr>
          <w:rFonts w:ascii="Calibri" w:hAnsi="Calibri" w:cs="Calibri"/>
          <w:i/>
          <w:iCs/>
        </w:rPr>
        <w:t>Environ. Sci. Technol.</w:t>
      </w:r>
      <w:r w:rsidRPr="003E43CF">
        <w:rPr>
          <w:rFonts w:ascii="Calibri" w:hAnsi="Calibri" w:cs="Calibri"/>
        </w:rPr>
        <w:t xml:space="preserve">, vol. 42, no. 5, pp. 1651–1656, Mar. 2008, </w:t>
      </w:r>
      <w:proofErr w:type="spellStart"/>
      <w:r w:rsidRPr="003E43CF">
        <w:rPr>
          <w:rFonts w:ascii="Calibri" w:hAnsi="Calibri" w:cs="Calibri"/>
        </w:rPr>
        <w:t>doi</w:t>
      </w:r>
      <w:proofErr w:type="spellEnd"/>
      <w:r w:rsidRPr="003E43CF">
        <w:rPr>
          <w:rFonts w:ascii="Calibri" w:hAnsi="Calibri" w:cs="Calibri"/>
        </w:rPr>
        <w:t>: 10.1021/es702413b.</w:t>
      </w:r>
    </w:p>
    <w:p w14:paraId="2C124641" w14:textId="77777777" w:rsidR="003E43CF" w:rsidRPr="003E43CF" w:rsidRDefault="003E43CF" w:rsidP="003E43CF">
      <w:pPr>
        <w:pStyle w:val="Bibliography"/>
        <w:rPr>
          <w:rFonts w:ascii="Calibri" w:hAnsi="Calibri" w:cs="Calibri"/>
        </w:rPr>
      </w:pPr>
      <w:r w:rsidRPr="003E43CF">
        <w:rPr>
          <w:rFonts w:ascii="Calibri" w:hAnsi="Calibri" w:cs="Calibri"/>
        </w:rPr>
        <w:t>[2]</w:t>
      </w:r>
      <w:r w:rsidRPr="003E43CF">
        <w:rPr>
          <w:rFonts w:ascii="Calibri" w:hAnsi="Calibri" w:cs="Calibri"/>
        </w:rPr>
        <w:tab/>
        <w:t xml:space="preserve">N. J. Sanders and R. Sandler, “Technology and the Effectiveness of Regulatory Programs over Time: Vehicle Emissions and Smog Checks with a Changing Fleet,” </w:t>
      </w:r>
      <w:r w:rsidRPr="003E43CF">
        <w:rPr>
          <w:rFonts w:ascii="Calibri" w:hAnsi="Calibri" w:cs="Calibri"/>
          <w:i/>
          <w:iCs/>
        </w:rPr>
        <w:t xml:space="preserve">Journal of the Association of </w:t>
      </w:r>
      <w:r w:rsidRPr="003E43CF">
        <w:rPr>
          <w:rFonts w:ascii="Calibri" w:hAnsi="Calibri" w:cs="Calibri"/>
          <w:i/>
          <w:iCs/>
        </w:rPr>
        <w:lastRenderedPageBreak/>
        <w:t>Environmental and Resource Economists</w:t>
      </w:r>
      <w:r w:rsidRPr="003E43CF">
        <w:rPr>
          <w:rFonts w:ascii="Calibri" w:hAnsi="Calibri" w:cs="Calibri"/>
        </w:rPr>
        <w:t xml:space="preserve">, vol. 7, no. 3, pp. 587–618, May 2020, </w:t>
      </w:r>
      <w:proofErr w:type="spellStart"/>
      <w:r w:rsidRPr="003E43CF">
        <w:rPr>
          <w:rFonts w:ascii="Calibri" w:hAnsi="Calibri" w:cs="Calibri"/>
        </w:rPr>
        <w:t>doi</w:t>
      </w:r>
      <w:proofErr w:type="spellEnd"/>
      <w:r w:rsidRPr="003E43CF">
        <w:rPr>
          <w:rFonts w:ascii="Calibri" w:hAnsi="Calibri" w:cs="Calibri"/>
        </w:rPr>
        <w:t>: 10.1086/707954.</w:t>
      </w:r>
    </w:p>
    <w:p w14:paraId="541DF425" w14:textId="77777777" w:rsidR="003E43CF" w:rsidRPr="003E43CF" w:rsidRDefault="003E43CF" w:rsidP="003E43CF">
      <w:pPr>
        <w:pStyle w:val="Bibliography"/>
        <w:rPr>
          <w:rFonts w:ascii="Calibri" w:hAnsi="Calibri" w:cs="Calibri"/>
        </w:rPr>
      </w:pPr>
      <w:r w:rsidRPr="003E43CF">
        <w:rPr>
          <w:rFonts w:ascii="Calibri" w:hAnsi="Calibri" w:cs="Calibri"/>
        </w:rPr>
        <w:t>[3]</w:t>
      </w:r>
      <w:r w:rsidRPr="003E43CF">
        <w:rPr>
          <w:rFonts w:ascii="Calibri" w:hAnsi="Calibri" w:cs="Calibri"/>
        </w:rPr>
        <w:tab/>
        <w:t xml:space="preserve">R. J. Wessel, “Policing the poor: The impact of vehicle emissions inspection programs across income,” </w:t>
      </w:r>
      <w:r w:rsidRPr="003E43CF">
        <w:rPr>
          <w:rFonts w:ascii="Calibri" w:hAnsi="Calibri" w:cs="Calibri"/>
          <w:i/>
          <w:iCs/>
        </w:rPr>
        <w:t>Transportation Research Part D: Transport and Environment</w:t>
      </w:r>
      <w:r w:rsidRPr="003E43CF">
        <w:rPr>
          <w:rFonts w:ascii="Calibri" w:hAnsi="Calibri" w:cs="Calibri"/>
        </w:rPr>
        <w:t xml:space="preserve">, vol. 78, p. 102207, Jan. 2020, </w:t>
      </w:r>
      <w:proofErr w:type="spellStart"/>
      <w:r w:rsidRPr="003E43CF">
        <w:rPr>
          <w:rFonts w:ascii="Calibri" w:hAnsi="Calibri" w:cs="Calibri"/>
        </w:rPr>
        <w:t>doi</w:t>
      </w:r>
      <w:proofErr w:type="spellEnd"/>
      <w:r w:rsidRPr="003E43CF">
        <w:rPr>
          <w:rFonts w:ascii="Calibri" w:hAnsi="Calibri" w:cs="Calibri"/>
        </w:rPr>
        <w:t>: 10.1016/j.trd.2019.102207.</w:t>
      </w:r>
    </w:p>
    <w:p w14:paraId="1C2C02B0" w14:textId="77777777" w:rsidR="003E43CF" w:rsidRPr="003E43CF" w:rsidRDefault="003E43CF" w:rsidP="003E43CF">
      <w:pPr>
        <w:pStyle w:val="Bibliography"/>
        <w:rPr>
          <w:rFonts w:ascii="Calibri" w:hAnsi="Calibri" w:cs="Calibri"/>
        </w:rPr>
      </w:pPr>
      <w:r w:rsidRPr="003E43CF">
        <w:rPr>
          <w:rFonts w:ascii="Calibri" w:hAnsi="Calibri" w:cs="Calibri"/>
        </w:rPr>
        <w:t>[4]</w:t>
      </w:r>
      <w:r w:rsidRPr="003E43CF">
        <w:rPr>
          <w:rFonts w:ascii="Calibri" w:hAnsi="Calibri" w:cs="Calibri"/>
        </w:rPr>
        <w:tab/>
        <w:t>“Table MF-2 / Highway Statistics 2020 - Policy | Federal Highway Administration.” https://www.fhwa.dot.gov/policyinformation/statistics/2020/mf2.cfm (accessed Nov. 05, 2022).</w:t>
      </w:r>
    </w:p>
    <w:p w14:paraId="5F6FEC35" w14:textId="77777777" w:rsidR="003E43CF" w:rsidRPr="003E43CF" w:rsidRDefault="003E43CF" w:rsidP="003E43CF">
      <w:pPr>
        <w:pStyle w:val="Bibliography"/>
        <w:rPr>
          <w:rFonts w:ascii="Calibri" w:hAnsi="Calibri" w:cs="Calibri"/>
        </w:rPr>
      </w:pPr>
      <w:r w:rsidRPr="003E43CF">
        <w:rPr>
          <w:rFonts w:ascii="Calibri" w:hAnsi="Calibri" w:cs="Calibri"/>
        </w:rPr>
        <w:t>[5]</w:t>
      </w:r>
      <w:r w:rsidRPr="003E43CF">
        <w:rPr>
          <w:rFonts w:ascii="Calibri" w:hAnsi="Calibri" w:cs="Calibri"/>
        </w:rPr>
        <w:tab/>
        <w:t xml:space="preserve">USEPA, “Greenhouse Gas and Energy Consumption Rates for </w:t>
      </w:r>
      <w:proofErr w:type="spellStart"/>
      <w:r w:rsidRPr="003E43CF">
        <w:rPr>
          <w:rFonts w:ascii="Calibri" w:hAnsi="Calibri" w:cs="Calibri"/>
        </w:rPr>
        <w:t>Onroad</w:t>
      </w:r>
      <w:proofErr w:type="spellEnd"/>
      <w:r w:rsidRPr="003E43CF">
        <w:rPr>
          <w:rFonts w:ascii="Calibri" w:hAnsi="Calibri" w:cs="Calibri"/>
        </w:rPr>
        <w:t xml:space="preserve"> Vehicles in MOVES3,” Office of Transportation and Air Quality, U.S. Environmental Protection Agency, Ann Arbor, MI, USA, EPA-420-R-20-015, Nov. 2020. [Online]. Available: https://www.epa.gov/moves/moves-onroad-technical-reports</w:t>
      </w:r>
    </w:p>
    <w:p w14:paraId="754C7A90" w14:textId="1DB9D203" w:rsidR="0045230B" w:rsidRDefault="003E43CF" w:rsidP="0045230B">
      <w:pPr>
        <w:pStyle w:val="ListParagraph"/>
        <w:ind w:left="360"/>
      </w:pPr>
      <w:r>
        <w:fldChar w:fldCharType="end"/>
      </w:r>
    </w:p>
    <w:sectPr w:rsidR="0045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14DA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BC1947"/>
    <w:multiLevelType w:val="hybridMultilevel"/>
    <w:tmpl w:val="CF64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41EFE"/>
    <w:multiLevelType w:val="hybridMultilevel"/>
    <w:tmpl w:val="C730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840912">
    <w:abstractNumId w:val="0"/>
  </w:num>
  <w:num w:numId="2" w16cid:durableId="9458021">
    <w:abstractNumId w:val="1"/>
  </w:num>
  <w:num w:numId="3" w16cid:durableId="1386951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A5"/>
    <w:rsid w:val="00000354"/>
    <w:rsid w:val="00001BAC"/>
    <w:rsid w:val="00030291"/>
    <w:rsid w:val="00044419"/>
    <w:rsid w:val="00052E4C"/>
    <w:rsid w:val="00067857"/>
    <w:rsid w:val="000731C0"/>
    <w:rsid w:val="000E7C0A"/>
    <w:rsid w:val="00101DB8"/>
    <w:rsid w:val="00117535"/>
    <w:rsid w:val="001254CF"/>
    <w:rsid w:val="001E46D8"/>
    <w:rsid w:val="00200AAE"/>
    <w:rsid w:val="00222A73"/>
    <w:rsid w:val="00236A4F"/>
    <w:rsid w:val="0025331B"/>
    <w:rsid w:val="002C0C26"/>
    <w:rsid w:val="002D55F1"/>
    <w:rsid w:val="002D660A"/>
    <w:rsid w:val="002F1EBD"/>
    <w:rsid w:val="002F35E2"/>
    <w:rsid w:val="002F5763"/>
    <w:rsid w:val="00310888"/>
    <w:rsid w:val="0033029A"/>
    <w:rsid w:val="003324C6"/>
    <w:rsid w:val="00354B59"/>
    <w:rsid w:val="003907D5"/>
    <w:rsid w:val="003B7664"/>
    <w:rsid w:val="003D0174"/>
    <w:rsid w:val="003E43CF"/>
    <w:rsid w:val="0045230B"/>
    <w:rsid w:val="00453565"/>
    <w:rsid w:val="004543BA"/>
    <w:rsid w:val="00457383"/>
    <w:rsid w:val="004733C0"/>
    <w:rsid w:val="004D5556"/>
    <w:rsid w:val="00553C3D"/>
    <w:rsid w:val="00564695"/>
    <w:rsid w:val="00587B5C"/>
    <w:rsid w:val="0059693B"/>
    <w:rsid w:val="005B0BAA"/>
    <w:rsid w:val="005C6C00"/>
    <w:rsid w:val="005D4E6F"/>
    <w:rsid w:val="0060169D"/>
    <w:rsid w:val="0063180B"/>
    <w:rsid w:val="0065767F"/>
    <w:rsid w:val="00661F0F"/>
    <w:rsid w:val="0067206A"/>
    <w:rsid w:val="006A3ACE"/>
    <w:rsid w:val="006B0853"/>
    <w:rsid w:val="006F1EF9"/>
    <w:rsid w:val="007019AF"/>
    <w:rsid w:val="0070599A"/>
    <w:rsid w:val="00740151"/>
    <w:rsid w:val="00752BE7"/>
    <w:rsid w:val="00772AA5"/>
    <w:rsid w:val="007A4DB9"/>
    <w:rsid w:val="007B1A6A"/>
    <w:rsid w:val="007C15FA"/>
    <w:rsid w:val="007E1DC8"/>
    <w:rsid w:val="007F55C4"/>
    <w:rsid w:val="007F57F8"/>
    <w:rsid w:val="00824140"/>
    <w:rsid w:val="00870C4B"/>
    <w:rsid w:val="0087318E"/>
    <w:rsid w:val="008A138D"/>
    <w:rsid w:val="008A565A"/>
    <w:rsid w:val="008B1865"/>
    <w:rsid w:val="008B6E74"/>
    <w:rsid w:val="008D6509"/>
    <w:rsid w:val="008E010C"/>
    <w:rsid w:val="008E5ED2"/>
    <w:rsid w:val="00907C09"/>
    <w:rsid w:val="00934ECC"/>
    <w:rsid w:val="0098046F"/>
    <w:rsid w:val="009B0AE4"/>
    <w:rsid w:val="009D7C70"/>
    <w:rsid w:val="009F0FD6"/>
    <w:rsid w:val="009F1FE3"/>
    <w:rsid w:val="00A07CE9"/>
    <w:rsid w:val="00A11FE5"/>
    <w:rsid w:val="00A140E7"/>
    <w:rsid w:val="00A1418F"/>
    <w:rsid w:val="00A16137"/>
    <w:rsid w:val="00A6731B"/>
    <w:rsid w:val="00A7249E"/>
    <w:rsid w:val="00A74698"/>
    <w:rsid w:val="00A7575C"/>
    <w:rsid w:val="00A762BC"/>
    <w:rsid w:val="00B450C8"/>
    <w:rsid w:val="00B52832"/>
    <w:rsid w:val="00B555AF"/>
    <w:rsid w:val="00BB2BF5"/>
    <w:rsid w:val="00BD1B65"/>
    <w:rsid w:val="00C0289C"/>
    <w:rsid w:val="00C0536B"/>
    <w:rsid w:val="00C37A65"/>
    <w:rsid w:val="00C41B8E"/>
    <w:rsid w:val="00C50AF5"/>
    <w:rsid w:val="00C7116D"/>
    <w:rsid w:val="00CB08AB"/>
    <w:rsid w:val="00CC1344"/>
    <w:rsid w:val="00CF1B2A"/>
    <w:rsid w:val="00D03207"/>
    <w:rsid w:val="00D112E0"/>
    <w:rsid w:val="00D1664B"/>
    <w:rsid w:val="00D222A2"/>
    <w:rsid w:val="00D25E7D"/>
    <w:rsid w:val="00D27FD7"/>
    <w:rsid w:val="00D60752"/>
    <w:rsid w:val="00D74C1F"/>
    <w:rsid w:val="00D94980"/>
    <w:rsid w:val="00DD2DBE"/>
    <w:rsid w:val="00E44423"/>
    <w:rsid w:val="00E45755"/>
    <w:rsid w:val="00E5760F"/>
    <w:rsid w:val="00E94E70"/>
    <w:rsid w:val="00EB401C"/>
    <w:rsid w:val="00F2331C"/>
    <w:rsid w:val="00F41506"/>
    <w:rsid w:val="00F50567"/>
    <w:rsid w:val="00F5455C"/>
    <w:rsid w:val="00F66EFA"/>
    <w:rsid w:val="00F7633A"/>
    <w:rsid w:val="00FB1C88"/>
    <w:rsid w:val="00FB61D6"/>
    <w:rsid w:val="00FE3715"/>
    <w:rsid w:val="00FF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E978"/>
  <w15:chartTrackingRefBased/>
  <w15:docId w15:val="{167CD497-EB78-44A7-A2C8-54C42DCB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5E2"/>
    <w:pPr>
      <w:ind w:left="720"/>
      <w:contextualSpacing/>
    </w:pPr>
  </w:style>
  <w:style w:type="character" w:styleId="PlaceholderText">
    <w:name w:val="Placeholder Text"/>
    <w:basedOn w:val="DefaultParagraphFont"/>
    <w:uiPriority w:val="99"/>
    <w:semiHidden/>
    <w:rsid w:val="009F0FD6"/>
    <w:rPr>
      <w:color w:val="808080"/>
    </w:rPr>
  </w:style>
  <w:style w:type="paragraph" w:styleId="Bibliography">
    <w:name w:val="Bibliography"/>
    <w:basedOn w:val="Normal"/>
    <w:next w:val="Normal"/>
    <w:uiPriority w:val="37"/>
    <w:unhideWhenUsed/>
    <w:rsid w:val="003E43C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73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4525</TotalTime>
  <Pages>3</Pages>
  <Words>1752</Words>
  <Characters>9991</Characters>
  <Application>Microsoft Office Word</Application>
  <DocSecurity>0</DocSecurity>
  <Lines>83</Lines>
  <Paragraphs>23</Paragraphs>
  <ScaleCrop>false</ScaleCrop>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Sonntag</dc:creator>
  <cp:keywords/>
  <dc:description/>
  <cp:lastModifiedBy>Darrell Sonntag</cp:lastModifiedBy>
  <cp:revision>126</cp:revision>
  <dcterms:created xsi:type="dcterms:W3CDTF">2022-10-26T20:13:00Z</dcterms:created>
  <dcterms:modified xsi:type="dcterms:W3CDTF">2022-11-09T00:04:00Z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id="LqiGD4XJ"/&gt;&lt;style id="http://www.zotero.org/styles/ieee" locale="en-US" hasBibliography="1" bibliographyStyleHasBeenSet="1"/&gt;&lt;prefs&gt;&lt;pref name="fieldType" value="Field"/&gt;&lt;/prefs&gt;&lt;/data&gt;</vt:lpwstr>
  </property>
</Properties>
</file>