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664TP</w:t>
      </w:r>
    </w:p>
    <w:p>
      <w:pPr>
        <w:pStyle w:val="Author"/>
      </w:pPr>
      <w:r>
        <w:t xml:space="preserve">Hayden</w:t>
      </w:r>
      <w:r>
        <w:t xml:space="preserve"> </w:t>
      </w:r>
      <w:r>
        <w:t xml:space="preserve">Atchley</w:t>
      </w:r>
    </w:p>
    <w:p>
      <w:pPr>
        <w:pStyle w:val="Date"/>
      </w:pPr>
      <w:r>
        <w:t xml:space="preserve">31</w:t>
      </w:r>
      <w:r>
        <w:t xml:space="preserve"> </w:t>
      </w:r>
      <w:r>
        <w:t xml:space="preserve">January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Heading1"/>
      </w:pPr>
    </w:p>
    <w:bookmarkEnd w:id="20"/>
    <w:bookmarkStart w:id="23" w:name="introduction"/>
    <w:p>
      <w:pPr>
        <w:pStyle w:val="Heading1"/>
      </w:pPr>
      <w:r>
        <w:t xml:space="preserve">1. Introduction</w:t>
      </w:r>
    </w:p>
    <w:p>
      <w:pPr>
        <w:pStyle w:val="FirstParagraph"/>
      </w:pPr>
      <w:r>
        <w:t xml:space="preserve">HSL Developers is proposing the development of Dream Town, a multi-use site containing a restaurant and a mixed-use office/retail building. This section contains information on the purpose of the report and the study level of the proposed development.</w:t>
      </w:r>
    </w:p>
    <w:bookmarkStart w:id="21" w:name="purpose"/>
    <w:p>
      <w:pPr>
        <w:pStyle w:val="Heading2"/>
      </w:pPr>
      <w:r>
        <w:t xml:space="preserve">1.1 Purpose</w:t>
      </w:r>
    </w:p>
    <w:p>
      <w:pPr>
        <w:pStyle w:val="FirstParagraph"/>
      </w:pPr>
      <w:r>
        <w:t xml:space="preserve">This report presents a Traffic Impact Analysis (TIA) for the proposed Dream Town development. This TIA was completed to fulfill requirements from Provo City and the Utah Department of Transportation (UDOT) for new development, and was done in accordance with UDOT guidelines to apply for an access permit</w:t>
      </w:r>
      <w:r>
        <w:t xml:space="preserve"> </w:t>
      </w:r>
      <w:r>
        <w:t xml:space="preserve">(Utah Department of Transportation 2019)</w:t>
      </w:r>
      <w:r>
        <w:t xml:space="preserve">. The TIA identifies current traffic patterns—including traffic volume counts—in the study area, and projects traffic volumes to opening day and five years after opening (2024 and 2029, respectively).</w:t>
      </w:r>
    </w:p>
    <w:bookmarkEnd w:id="21"/>
    <w:bookmarkStart w:id="22" w:name="study-level"/>
    <w:p>
      <w:pPr>
        <w:pStyle w:val="Heading2"/>
      </w:pPr>
      <w:r>
        <w:t xml:space="preserve">1.2 Study Level</w:t>
      </w:r>
    </w:p>
    <w:p>
      <w:pPr>
        <w:pStyle w:val="FirstParagraph"/>
      </w:pPr>
      <w:r>
        <w:t xml:space="preserve">UDOT Administrative Rule R930-6-8(4)</w:t>
      </w:r>
      <w:r>
        <w:t xml:space="preserve"> </w:t>
      </w:r>
      <w:r>
        <w:t xml:space="preserve">(Utah Department of Transportation 2019)</w:t>
      </w:r>
      <w:r>
        <w:t xml:space="preserve"> </w:t>
      </w:r>
      <w:r>
        <w:t xml:space="preserve">sets forth general requirements for an access permit, including determining the application level. The proposed development will contain an 8,000 ft</w:t>
      </w:r>
      <w:r>
        <w:rPr>
          <w:vertAlign w:val="superscript"/>
        </w:rPr>
        <w:t xml:space="preserve">2</w:t>
      </w:r>
      <w:r>
        <w:t xml:space="preserve"> </w:t>
      </w:r>
      <w:r>
        <w:t xml:space="preserve">high-turnover restaurant (Institute of Transportation Engineers (ITE) land use code 932) and a 32,000 ft</w:t>
      </w:r>
      <w:r>
        <w:rPr>
          <w:vertAlign w:val="superscript"/>
        </w:rPr>
        <w:t xml:space="preserve">2</w:t>
      </w:r>
      <w:r>
        <w:t xml:space="preserve"> </w:t>
      </w:r>
      <w:r>
        <w:t xml:space="preserve">office/retail building, half of which (18,000 ft</w:t>
      </w:r>
      <w:r>
        <w:rPr>
          <w:vertAlign w:val="superscript"/>
        </w:rPr>
        <w:t xml:space="preserve">2</w:t>
      </w:r>
      <w:r>
        <w:t xml:space="preserve">) will be a general office location (ITE land use code 710), and the remaining half (18,000 ft</w:t>
      </w:r>
      <w:r>
        <w:rPr>
          <w:vertAlign w:val="superscript"/>
        </w:rPr>
        <w:t xml:space="preserve">2</w:t>
      </w:r>
      <w:r>
        <w:t xml:space="preserve">) will be a hardware store (ITE land use code 816). From the ITE Trip Generation Manual</w:t>
      </w:r>
      <w:r>
        <w:t xml:space="preserve"> </w:t>
      </w:r>
      <w:r>
        <w:t xml:space="preserve">(Institute of Transportation Engineers 2021)</w:t>
      </w:r>
      <w:r>
        <w:t xml:space="preserve">, these locations are expected to generate 1264 weekday trips and 166 PM peak trips. These trip rates, along with the land use and respective development sizes, necessitate a level II application.</w:t>
      </w:r>
    </w:p>
    <w:p>
      <w:pPr>
        <w:pStyle w:val="BodyText"/>
      </w:pPr>
      <w:r>
        <w:t xml:space="preserve">A Level II application requires the following:</w:t>
      </w:r>
    </w:p>
    <w:p>
      <w:pPr>
        <w:numPr>
          <w:ilvl w:val="0"/>
          <w:numId w:val="1001"/>
        </w:numPr>
        <w:pStyle w:val="Compact"/>
      </w:pPr>
      <w:r>
        <w:t xml:space="preserve">Analysis area includes intersection of site access drives with state highways and any signalized and un-signalized intersection within access category distance of property line</w:t>
      </w:r>
    </w:p>
    <w:p>
      <w:pPr>
        <w:numPr>
          <w:ilvl w:val="0"/>
          <w:numId w:val="1001"/>
        </w:numPr>
        <w:pStyle w:val="Compact"/>
      </w:pPr>
      <w:r>
        <w:t xml:space="preserve">Design years are opening day and five years after project completion</w:t>
      </w:r>
    </w:p>
    <w:p>
      <w:pPr>
        <w:numPr>
          <w:ilvl w:val="0"/>
          <w:numId w:val="1001"/>
        </w:numPr>
        <w:pStyle w:val="Compact"/>
      </w:pPr>
      <w:r>
        <w:t xml:space="preserve">Traffic is identified for weekday AM and PM peak, and special peak hour as necessary</w:t>
      </w:r>
    </w:p>
    <w:p>
      <w:pPr>
        <w:numPr>
          <w:ilvl w:val="1"/>
          <w:numId w:val="1002"/>
        </w:numPr>
        <w:pStyle w:val="Compact"/>
      </w:pPr>
      <w:r>
        <w:rPr>
          <w:bCs/>
          <w:b/>
        </w:rPr>
        <w:t xml:space="preserve">N.B. This analysis only includes PM peak traffic due to the scope of the assignment</w:t>
      </w:r>
    </w:p>
    <w:p>
      <w:pPr>
        <w:numPr>
          <w:ilvl w:val="0"/>
          <w:numId w:val="1001"/>
        </w:numPr>
        <w:pStyle w:val="Compact"/>
      </w:pPr>
      <w:r>
        <w:t xml:space="preserve">Data collection includes:</w:t>
      </w:r>
    </w:p>
    <w:p>
      <w:pPr>
        <w:numPr>
          <w:ilvl w:val="1"/>
          <w:numId w:val="1003"/>
        </w:numPr>
        <w:pStyle w:val="Compact"/>
      </w:pPr>
      <w:r>
        <w:t xml:space="preserve">Daily and turning movement counts</w:t>
      </w:r>
    </w:p>
    <w:p>
      <w:pPr>
        <w:numPr>
          <w:ilvl w:val="1"/>
          <w:numId w:val="1003"/>
        </w:numPr>
        <w:pStyle w:val="Compact"/>
      </w:pPr>
      <w:r>
        <w:t xml:space="preserve">Site and adjacent roadway/intersection geometrics</w:t>
      </w:r>
    </w:p>
    <w:p>
      <w:pPr>
        <w:numPr>
          <w:ilvl w:val="1"/>
          <w:numId w:val="1003"/>
        </w:numPr>
        <w:pStyle w:val="Compact"/>
      </w:pPr>
      <w:r>
        <w:t xml:space="preserve">Information on traffic control devices</w:t>
      </w:r>
    </w:p>
    <w:p>
      <w:pPr>
        <w:numPr>
          <w:ilvl w:val="1"/>
          <w:numId w:val="1003"/>
        </w:numPr>
        <w:pStyle w:val="Compact"/>
      </w:pPr>
      <w:r>
        <w:t xml:space="preserve">Crash data</w:t>
      </w:r>
    </w:p>
    <w:p>
      <w:pPr>
        <w:numPr>
          <w:ilvl w:val="0"/>
          <w:numId w:val="1001"/>
        </w:numPr>
        <w:pStyle w:val="Compact"/>
      </w:pPr>
      <w:r>
        <w:t xml:space="preserve">Trip generation following the ITE Trip Generation Manual or other ITE procedures</w:t>
      </w:r>
    </w:p>
    <w:p>
      <w:pPr>
        <w:numPr>
          <w:ilvl w:val="0"/>
          <w:numId w:val="1001"/>
        </w:numPr>
        <w:pStyle w:val="Compact"/>
      </w:pPr>
      <w:r>
        <w:t xml:space="preserve">Trip distributions and assignment (existing, site, background, and future volumes in analysis area)</w:t>
      </w:r>
    </w:p>
    <w:p>
      <w:pPr>
        <w:numPr>
          <w:ilvl w:val="0"/>
          <w:numId w:val="1001"/>
        </w:numPr>
        <w:pStyle w:val="Compact"/>
      </w:pPr>
      <w:r>
        <w:t xml:space="preserve">Conflict and capacity analysis</w:t>
      </w:r>
    </w:p>
    <w:p>
      <w:pPr>
        <w:numPr>
          <w:ilvl w:val="0"/>
          <w:numId w:val="1001"/>
        </w:numPr>
        <w:pStyle w:val="Compact"/>
      </w:pPr>
      <w:r>
        <w:t xml:space="preserve">Traffic signal impacts</w:t>
      </w:r>
    </w:p>
    <w:p>
      <w:pPr>
        <w:numPr>
          <w:ilvl w:val="0"/>
          <w:numId w:val="1001"/>
        </w:numPr>
        <w:pStyle w:val="Compact"/>
      </w:pPr>
      <w:r>
        <w:t xml:space="preserve">Right-of-way identified, including no- and limited-access control lines</w:t>
      </w:r>
    </w:p>
    <w:p>
      <w:pPr>
        <w:numPr>
          <w:ilvl w:val="0"/>
          <w:numId w:val="1001"/>
        </w:numPr>
        <w:pStyle w:val="Compact"/>
      </w:pPr>
      <w:r>
        <w:t xml:space="preserve">Includes safe operational design needs and concerns with accompanying mitigation measures</w:t>
      </w:r>
    </w:p>
    <w:bookmarkEnd w:id="22"/>
    <w:bookmarkEnd w:id="23"/>
    <w:bookmarkStart w:id="27" w:name="proposed-development"/>
    <w:p>
      <w:pPr>
        <w:pStyle w:val="Heading1"/>
      </w:pPr>
      <w:r>
        <w:t xml:space="preserve">2. Proposed Development</w:t>
      </w:r>
    </w:p>
    <w:bookmarkStart w:id="24" w:name="site-description"/>
    <w:p>
      <w:pPr>
        <w:pStyle w:val="Heading2"/>
      </w:pPr>
      <w:r>
        <w:t xml:space="preserve">2.1 Site Description</w:t>
      </w:r>
    </w:p>
    <w:bookmarkEnd w:id="24"/>
    <w:bookmarkStart w:id="25" w:name="land-use"/>
    <w:p>
      <w:pPr>
        <w:pStyle w:val="Heading2"/>
      </w:pPr>
      <w:r>
        <w:t xml:space="preserve">2.2 Land Use</w:t>
      </w:r>
    </w:p>
    <w:bookmarkEnd w:id="25"/>
    <w:bookmarkStart w:id="26" w:name="site-plan"/>
    <w:p>
      <w:pPr>
        <w:pStyle w:val="Heading2"/>
      </w:pPr>
      <w:r>
        <w:t xml:space="preserve">2.3 Site Plan</w:t>
      </w:r>
    </w:p>
    <w:bookmarkEnd w:id="26"/>
    <w:bookmarkEnd w:id="27"/>
    <w:bookmarkStart w:id="31" w:name="study-area-conditions"/>
    <w:p>
      <w:pPr>
        <w:pStyle w:val="Heading1"/>
      </w:pPr>
      <w:r>
        <w:t xml:space="preserve">3. Study Area Conditions</w:t>
      </w:r>
    </w:p>
    <w:bookmarkStart w:id="28" w:name="street-conditions"/>
    <w:p>
      <w:pPr>
        <w:pStyle w:val="Heading2"/>
      </w:pPr>
      <w:r>
        <w:t xml:space="preserve">3.1 Street Conditions</w:t>
      </w:r>
    </w:p>
    <w:bookmarkEnd w:id="28"/>
    <w:bookmarkStart w:id="29" w:name="adjacent-land-uses"/>
    <w:p>
      <w:pPr>
        <w:pStyle w:val="Heading2"/>
      </w:pPr>
      <w:r>
        <w:t xml:space="preserve">3.2 Adjacent Land Uses</w:t>
      </w:r>
    </w:p>
    <w:bookmarkEnd w:id="29"/>
    <w:bookmarkStart w:id="30" w:name="site-accessibility"/>
    <w:p>
      <w:pPr>
        <w:pStyle w:val="Heading2"/>
      </w:pPr>
      <w:r>
        <w:t xml:space="preserve">3.3 Site Accessibility</w:t>
      </w:r>
    </w:p>
    <w:bookmarkEnd w:id="30"/>
    <w:bookmarkEnd w:id="31"/>
    <w:bookmarkStart w:id="36" w:name="analysis-of-existing-conditions"/>
    <w:p>
      <w:pPr>
        <w:pStyle w:val="Heading1"/>
      </w:pPr>
      <w:r>
        <w:t xml:space="preserve">4. Analysis of Existing Conditions</w:t>
      </w:r>
    </w:p>
    <w:bookmarkStart w:id="32" w:name="physical-characteristics"/>
    <w:p>
      <w:pPr>
        <w:pStyle w:val="Heading2"/>
      </w:pPr>
      <w:r>
        <w:t xml:space="preserve">4.1 Physical Characteristics</w:t>
      </w:r>
    </w:p>
    <w:bookmarkEnd w:id="32"/>
    <w:bookmarkStart w:id="33" w:name="traffic-volumes"/>
    <w:p>
      <w:pPr>
        <w:pStyle w:val="Heading2"/>
      </w:pPr>
      <w:r>
        <w:t xml:space="preserve">4.2 Traffic Volumes</w:t>
      </w:r>
    </w:p>
    <w:bookmarkEnd w:id="33"/>
    <w:bookmarkStart w:id="34" w:name="level-of-service"/>
    <w:p>
      <w:pPr>
        <w:pStyle w:val="Heading2"/>
      </w:pPr>
      <w:r>
        <w:t xml:space="preserve">4.3 Level of Service</w:t>
      </w:r>
    </w:p>
    <w:bookmarkEnd w:id="34"/>
    <w:bookmarkStart w:id="35" w:name="transportation-safety"/>
    <w:p>
      <w:pPr>
        <w:pStyle w:val="Heading2"/>
      </w:pPr>
      <w:r>
        <w:t xml:space="preserve">4.4 Transportation Safety</w:t>
      </w:r>
    </w:p>
    <w:bookmarkEnd w:id="35"/>
    <w:bookmarkEnd w:id="36"/>
    <w:bookmarkStart w:id="37" w:name="projected-traffic"/>
    <w:p>
      <w:pPr>
        <w:pStyle w:val="Heading1"/>
      </w:pPr>
      <w:r>
        <w:t xml:space="preserve">5. Projected Traffic</w:t>
      </w:r>
    </w:p>
    <w:bookmarkEnd w:id="37"/>
    <w:bookmarkStart w:id="38" w:name="access-and-parking-layout"/>
    <w:p>
      <w:pPr>
        <w:pStyle w:val="Heading1"/>
      </w:pPr>
      <w:r>
        <w:t xml:space="preserve">6. Access and Parking Layout</w:t>
      </w:r>
    </w:p>
    <w:bookmarkEnd w:id="38"/>
    <w:bookmarkStart w:id="39" w:name="traffic-and-improvement-analysis"/>
    <w:p>
      <w:pPr>
        <w:pStyle w:val="Heading1"/>
      </w:pPr>
      <w:r>
        <w:t xml:space="preserve">7. Traffic and Improvement Analysis</w:t>
      </w:r>
    </w:p>
    <w:bookmarkEnd w:id="39"/>
    <w:bookmarkStart w:id="40" w:name="conclusions-and-recommendations"/>
    <w:p>
      <w:pPr>
        <w:pStyle w:val="Heading1"/>
      </w:pPr>
      <w:r>
        <w:t xml:space="preserve">8. Conclusions and Recommendations</w:t>
      </w:r>
    </w:p>
    <w:bookmarkEnd w:id="40"/>
    <w:bookmarkStart w:id="46" w:name="references"/>
    <w:p>
      <w:pPr>
        <w:pStyle w:val="Heading1"/>
      </w:pPr>
      <w:r>
        <w:t xml:space="preserve">References</w:t>
      </w:r>
    </w:p>
    <w:bookmarkStart w:id="45" w:name="refs"/>
    <w:bookmarkStart w:id="42" w:name="X5668e9d6800f25ffd0464b286894c25f5345cf5"/>
    <w:p>
      <w:pPr>
        <w:pStyle w:val="Bibliography"/>
      </w:pPr>
      <w:r>
        <w:t xml:space="preserve">Institute of Transportation Engineers. 2021.</w:t>
      </w:r>
      <w:r>
        <w:t xml:space="preserve"> </w:t>
      </w:r>
      <w:r>
        <w:rPr>
          <w:iCs/>
          <w:i/>
        </w:rPr>
        <w:t xml:space="preserve">Trip Generation Manual</w:t>
      </w:r>
      <w:r>
        <w:t xml:space="preserve">. 10th ed.</w:t>
      </w:r>
      <w:r>
        <w:t xml:space="preserve"> </w:t>
      </w:r>
      <w:hyperlink r:id="rId41">
        <w:r>
          <w:rPr>
            <w:rStyle w:val="Hyperlink"/>
          </w:rPr>
          <w:t xml:space="preserve">https://itetripgen.org/</w:t>
        </w:r>
      </w:hyperlink>
      <w:r>
        <w:t xml:space="preserve">.</w:t>
      </w:r>
    </w:p>
    <w:bookmarkEnd w:id="42"/>
    <w:bookmarkStart w:id="44" w:name="ref-utahdepartmentoftransportation2019"/>
    <w:p>
      <w:pPr>
        <w:pStyle w:val="Bibliography"/>
      </w:pPr>
      <w:r>
        <w:t xml:space="preserve">Utah Department of Transportation. 2019.</w:t>
      </w:r>
      <w:r>
        <w:t xml:space="preserve"> </w:t>
      </w:r>
      <w:r>
        <w:t xml:space="preserve">“Administrative Rule R930-6 (Access Management).”</w:t>
      </w:r>
      <w:r>
        <w:t xml:space="preserve"> </w:t>
      </w:r>
      <w:hyperlink r:id="rId43">
        <w:r>
          <w:rPr>
            <w:rStyle w:val="Hyperlink"/>
          </w:rPr>
          <w:t xml:space="preserve">https://drive.google.com/file/d/1a0YNDy9Z8bFxuE121lJP5XJNW0rw9Ft3/view?usp=embed_facebook</w:t>
        </w:r>
      </w:hyperlink>
      <w:r>
        <w:t xml:space="preserve">.</w:t>
      </w:r>
    </w:p>
    <w:bookmarkEnd w:id="44"/>
    <w:bookmarkEnd w:id="45"/>
    <w:bookmarkEnd w:id="46"/>
    <w:sectPr w:rsidR="00ED01D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Gentium Book Basic">
    <w:panose1 w:val="02000503060000020004"/>
    <w:charset w:val="4D"/>
    <w:family w:val="auto"/>
    <w:pitch w:val="variable"/>
    <w:sig w:usb0="A000007F" w:usb1="5000204A" w:usb2="00000000" w:usb3="00000000" w:csb0="00000013"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8848B7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93266184"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8" w:val="fullPage"/>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171B2"/>
    <w:pPr>
      <w:keepNext/>
      <w:keepLines/>
      <w:pBdr>
        <w:bottom w:color="auto" w:space="1" w:sz="4" w:val="single"/>
      </w:pBdr>
      <w:spacing w:after="480" w:before="480"/>
      <w:outlineLvl w:val="0"/>
    </w:pPr>
    <w:rPr>
      <w:rFonts w:ascii="Arial" w:cs="Times New Roman (Headings CS)" w:eastAsiaTheme="majorEastAsia" w:hAnsi="Arial"/>
      <w:b/>
      <w:bCs/>
      <w:smallCaps/>
      <w:color w:themeColor="text1" w:val="000000"/>
      <w:sz w:val="40"/>
      <w:szCs w:val="32"/>
    </w:rPr>
  </w:style>
  <w:style w:styleId="Heading2" w:type="paragraph">
    <w:name w:val="heading 2"/>
    <w:basedOn w:val="Normal"/>
    <w:next w:val="BodyText"/>
    <w:uiPriority w:val="9"/>
    <w:unhideWhenUsed/>
    <w:qFormat/>
    <w:rsid w:val="009478FD"/>
    <w:pPr>
      <w:keepNext/>
      <w:keepLines/>
      <w:spacing w:after="160" w:before="240"/>
      <w:outlineLvl w:val="1"/>
    </w:pPr>
    <w:rPr>
      <w:rFonts w:ascii="Arial" w:cs="Times New Roman (Headings CS)" w:eastAsiaTheme="majorEastAsia" w:hAnsi="Arial"/>
      <w:b/>
      <w:bCs/>
      <w:smallCaps/>
      <w:color w:themeColor="text1" w:val="000000"/>
      <w:sz w:val="32"/>
      <w:szCs w:val="28"/>
    </w:rPr>
  </w:style>
  <w:style w:styleId="Heading3" w:type="paragraph">
    <w:name w:val="heading 3"/>
    <w:basedOn w:val="Normal"/>
    <w:next w:val="BodyText"/>
    <w:uiPriority w:val="9"/>
    <w:unhideWhenUsed/>
    <w:qFormat/>
    <w:rsid w:val="00E02E21"/>
    <w:pPr>
      <w:keepNext/>
      <w:keepLines/>
      <w:spacing w:after="0" w:before="200"/>
      <w:outlineLvl w:val="2"/>
    </w:pPr>
    <w:rPr>
      <w:rFonts w:asciiTheme="majorHAnsi" w:cstheme="majorBidi" w:eastAsiaTheme="majorEastAsia" w:hAnsiTheme="majorHAnsi"/>
      <w:b/>
      <w:bCs/>
      <w:color w:themeColor="text1" w:themeTint="A6" w:val="595959"/>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02E21"/>
    <w:pPr>
      <w:spacing w:after="180" w:before="180" w:line="360" w:lineRule="auto"/>
    </w:pPr>
    <w:rPr>
      <w:rFonts w:ascii="Gentium Book Basic" w:cs="Times New Roman (Body CS)" w:hAnsi="Gentium Book Basic"/>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478F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rive.google.com/file/d/1a0YNDy9Z8bFxuE121lJP5XJNW0rw9Ft3/view?usp=embed_facebook" TargetMode="External" /><Relationship Type="http://schemas.openxmlformats.org/officeDocument/2006/relationships/hyperlink" Id="rId41" Target="https://itetripgen.org/" TargetMode="External" /></Relationships>
</file>

<file path=word/_rels/footnotes.xml.rels><?xml version="1.0" encoding="UTF-8"?><Relationships xmlns="http://schemas.openxmlformats.org/package/2006/relationships"><Relationship Type="http://schemas.openxmlformats.org/officeDocument/2006/relationships/hyperlink" Id="rId43" Target="https://drive.google.com/file/d/1a0YNDy9Z8bFxuE121lJP5XJNW0rw9Ft3/view?usp=embed_facebook" TargetMode="External" /><Relationship Type="http://schemas.openxmlformats.org/officeDocument/2006/relationships/hyperlink" Id="rId41" Target="https://itetripge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664TP</dc:title>
  <dc:creator>Hayden Atchley</dc:creator>
  <cp:keywords/>
  <dcterms:created xsi:type="dcterms:W3CDTF">2023-02-01T03:59:15Z</dcterms:created>
  <dcterms:modified xsi:type="dcterms:W3CDTF">2023-02-01T03:59:15Z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31 January 2023</vt:lpwstr>
  </property>
  <property fmtid="{D5CDD505-2E9C-101B-9397-08002B2CF9AE}" pid="9" name="date-format">
    <vt:lpwstr>D MMMM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