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690B" w14:textId="77777777" w:rsidR="001C6C79" w:rsidRDefault="00000000">
      <w:pPr>
        <w:pStyle w:val="Title"/>
      </w:pPr>
      <w:r>
        <w:t>Drivers of Higher WUA in Larger-Drainage-Area Channels</w:t>
      </w:r>
    </w:p>
    <w:p w14:paraId="6FE08703" w14:textId="77777777" w:rsidR="001C6C79" w:rsidRDefault="00000000">
      <w:pPr>
        <w:spacing w:after="120"/>
      </w:pPr>
      <w:r>
        <w:rPr>
          <w:b/>
        </w:rPr>
        <w:t xml:space="preserve">Analysis basis: </w:t>
      </w:r>
      <w:r>
        <w:t>727 modeled reaches, with detailed hydraulic recomputation for a drainage-area-stratified sample of 104 reaches.</w:t>
      </w:r>
    </w:p>
    <w:tbl>
      <w:tblPr>
        <w:tblW w:w="0" w:type="auto"/>
        <w:jc w:val="center"/>
        <w:tblLook w:val="04A0" w:firstRow="1" w:lastRow="0" w:firstColumn="1" w:lastColumn="0" w:noHBand="0" w:noVBand="1"/>
      </w:tblPr>
      <w:tblGrid>
        <w:gridCol w:w="10166"/>
      </w:tblGrid>
      <w:tr w:rsidR="001C6C79" w14:paraId="3F19566A" w14:textId="77777777">
        <w:trPr>
          <w:jc w:val="center"/>
        </w:trPr>
        <w:tc>
          <w:tcPr>
            <w:tcW w:w="10166" w:type="dxa"/>
            <w:shd w:val="clear" w:color="auto" w:fill="EAF2F8"/>
            <w:tcMar>
              <w:top w:w="90" w:type="dxa"/>
              <w:left w:w="120" w:type="dxa"/>
              <w:bottom w:w="90" w:type="dxa"/>
              <w:right w:w="120" w:type="dxa"/>
            </w:tcMar>
          </w:tcPr>
          <w:p w14:paraId="13A86AE4" w14:textId="77777777" w:rsidR="001C6C79" w:rsidRDefault="00000000">
            <w:pPr>
              <w:spacing w:after="0"/>
            </w:pPr>
            <w:r>
              <w:rPr>
                <w:b/>
              </w:rPr>
              <w:t xml:space="preserve">Key finding. </w:t>
            </w:r>
            <w:r>
              <w:t>Higher WUA in larger channels is driven primarily by improved hydraulic suitability, especially depth suitability and the alignment of suitable depth and velocity. Greater channel width increases raw WUA, but does not explain the normalized trend.</w:t>
            </w:r>
          </w:p>
        </w:tc>
      </w:tr>
    </w:tbl>
    <w:p w14:paraId="4A14F314" w14:textId="77777777" w:rsidR="001C6C79" w:rsidRDefault="00000000">
      <w:pPr>
        <w:pStyle w:val="Heading1"/>
      </w:pPr>
      <w:r>
        <w:t>Evidence</w:t>
      </w:r>
    </w:p>
    <w:p w14:paraId="20BE268D" w14:textId="77777777" w:rsidR="001C6C79" w:rsidRDefault="00000000">
      <w:r>
        <w:rPr>
          <w:b/>
        </w:rPr>
        <w:t xml:space="preserve">Normalized WUA remains strongly related to drainage area </w:t>
      </w:r>
      <w:r>
        <w:t>(Spearman rho = 0.923 for mean normalized WUA; 0.914 for maximum normalized WUA). The normalization denominator is not causing this relationship: modeled wetted width relative to predicted late-summer wetted width decreases with drainage area (Spearman rho = -0.743).</w:t>
      </w:r>
    </w:p>
    <w:tbl>
      <w:tblPr>
        <w:tblStyle w:val="TableGrid"/>
        <w:tblW w:w="0" w:type="auto"/>
        <w:jc w:val="center"/>
        <w:tblLayout w:type="fixed"/>
        <w:tblLook w:val="04A0" w:firstRow="1" w:lastRow="0" w:firstColumn="1" w:lastColumn="0" w:noHBand="0" w:noVBand="1"/>
      </w:tblPr>
      <w:tblGrid>
        <w:gridCol w:w="3389"/>
        <w:gridCol w:w="3389"/>
        <w:gridCol w:w="4824"/>
      </w:tblGrid>
      <w:tr w:rsidR="001C6C79" w14:paraId="2D5FBBA0" w14:textId="77777777">
        <w:trPr>
          <w:tblHeader/>
          <w:jc w:val="center"/>
        </w:trPr>
        <w:tc>
          <w:tcPr>
            <w:tcW w:w="3389" w:type="dxa"/>
            <w:shd w:val="clear" w:color="auto" w:fill="D9EAF7"/>
            <w:tcMar>
              <w:top w:w="70" w:type="dxa"/>
              <w:left w:w="90" w:type="dxa"/>
              <w:bottom w:w="70" w:type="dxa"/>
              <w:right w:w="90" w:type="dxa"/>
            </w:tcMar>
            <w:vAlign w:val="center"/>
          </w:tcPr>
          <w:p w14:paraId="39D9B25C" w14:textId="77777777" w:rsidR="001C6C79" w:rsidRDefault="00000000">
            <w:r>
              <w:rPr>
                <w:b/>
                <w:sz w:val="17"/>
              </w:rPr>
              <w:t>Component</w:t>
            </w:r>
          </w:p>
        </w:tc>
        <w:tc>
          <w:tcPr>
            <w:tcW w:w="3389" w:type="dxa"/>
            <w:shd w:val="clear" w:color="auto" w:fill="D9EAF7"/>
            <w:tcMar>
              <w:top w:w="70" w:type="dxa"/>
              <w:left w:w="90" w:type="dxa"/>
              <w:bottom w:w="70" w:type="dxa"/>
              <w:right w:w="90" w:type="dxa"/>
            </w:tcMar>
            <w:vAlign w:val="center"/>
          </w:tcPr>
          <w:p w14:paraId="6F9C43AB" w14:textId="77777777" w:rsidR="001C6C79" w:rsidRDefault="00000000">
            <w:r>
              <w:rPr>
                <w:b/>
                <w:sz w:val="17"/>
              </w:rPr>
              <w:t>Log-log slope vs. drainage area</w:t>
            </w:r>
          </w:p>
        </w:tc>
        <w:tc>
          <w:tcPr>
            <w:tcW w:w="3389" w:type="dxa"/>
            <w:shd w:val="clear" w:color="auto" w:fill="D9EAF7"/>
            <w:tcMar>
              <w:top w:w="70" w:type="dxa"/>
              <w:left w:w="90" w:type="dxa"/>
              <w:bottom w:w="70" w:type="dxa"/>
              <w:right w:w="90" w:type="dxa"/>
            </w:tcMar>
            <w:vAlign w:val="center"/>
          </w:tcPr>
          <w:p w14:paraId="58DCE590" w14:textId="77777777" w:rsidR="001C6C79" w:rsidRDefault="00000000">
            <w:r>
              <w:rPr>
                <w:b/>
                <w:sz w:val="17"/>
              </w:rPr>
              <w:t>Interpretation</w:t>
            </w:r>
          </w:p>
        </w:tc>
      </w:tr>
      <w:tr w:rsidR="001C6C79" w14:paraId="1B8D9EC2" w14:textId="77777777">
        <w:trPr>
          <w:jc w:val="center"/>
        </w:trPr>
        <w:tc>
          <w:tcPr>
            <w:tcW w:w="3240" w:type="dxa"/>
            <w:tcMar>
              <w:top w:w="70" w:type="dxa"/>
              <w:left w:w="90" w:type="dxa"/>
              <w:bottom w:w="70" w:type="dxa"/>
              <w:right w:w="90" w:type="dxa"/>
            </w:tcMar>
            <w:vAlign w:val="center"/>
          </w:tcPr>
          <w:p w14:paraId="4CADBBB2" w14:textId="77777777" w:rsidR="001C6C79" w:rsidRDefault="00000000">
            <w:pPr>
              <w:spacing w:after="0"/>
            </w:pPr>
            <w:r>
              <w:rPr>
                <w:sz w:val="17"/>
              </w:rPr>
              <w:t>Hydraulic suitability</w:t>
            </w:r>
          </w:p>
        </w:tc>
        <w:tc>
          <w:tcPr>
            <w:tcW w:w="1656" w:type="dxa"/>
            <w:tcMar>
              <w:top w:w="70" w:type="dxa"/>
              <w:left w:w="90" w:type="dxa"/>
              <w:bottom w:w="70" w:type="dxa"/>
              <w:right w:w="90" w:type="dxa"/>
            </w:tcMar>
            <w:vAlign w:val="center"/>
          </w:tcPr>
          <w:p w14:paraId="40067BF2" w14:textId="77777777" w:rsidR="001C6C79" w:rsidRDefault="00000000">
            <w:pPr>
              <w:spacing w:after="0"/>
            </w:pPr>
            <w:r>
              <w:rPr>
                <w:sz w:val="17"/>
              </w:rPr>
              <w:t>+0.789</w:t>
            </w:r>
          </w:p>
        </w:tc>
        <w:tc>
          <w:tcPr>
            <w:tcW w:w="4824" w:type="dxa"/>
            <w:tcMar>
              <w:top w:w="70" w:type="dxa"/>
              <w:left w:w="90" w:type="dxa"/>
              <w:bottom w:w="70" w:type="dxa"/>
              <w:right w:w="90" w:type="dxa"/>
            </w:tcMar>
            <w:vAlign w:val="center"/>
          </w:tcPr>
          <w:p w14:paraId="53CDDC6A" w14:textId="77777777" w:rsidR="001C6C79" w:rsidRDefault="00000000">
            <w:pPr>
              <w:spacing w:after="0"/>
            </w:pPr>
            <w:r>
              <w:rPr>
                <w:sz w:val="17"/>
              </w:rPr>
              <w:t>Dominant positive effect; mainly deeper, lower-gradient hydraulics</w:t>
            </w:r>
          </w:p>
        </w:tc>
      </w:tr>
      <w:tr w:rsidR="001C6C79" w14:paraId="5CEADF20" w14:textId="77777777">
        <w:trPr>
          <w:jc w:val="center"/>
        </w:trPr>
        <w:tc>
          <w:tcPr>
            <w:tcW w:w="3240" w:type="dxa"/>
            <w:tcMar>
              <w:top w:w="70" w:type="dxa"/>
              <w:left w:w="90" w:type="dxa"/>
              <w:bottom w:w="70" w:type="dxa"/>
              <w:right w:w="90" w:type="dxa"/>
            </w:tcMar>
            <w:vAlign w:val="center"/>
          </w:tcPr>
          <w:p w14:paraId="2310408F" w14:textId="77777777" w:rsidR="001C6C79" w:rsidRDefault="00000000">
            <w:pPr>
              <w:spacing w:after="0"/>
            </w:pPr>
            <w:r>
              <w:rPr>
                <w:sz w:val="17"/>
              </w:rPr>
              <w:t>Substrate suitability</w:t>
            </w:r>
          </w:p>
        </w:tc>
        <w:tc>
          <w:tcPr>
            <w:tcW w:w="1656" w:type="dxa"/>
            <w:tcMar>
              <w:top w:w="70" w:type="dxa"/>
              <w:left w:w="90" w:type="dxa"/>
              <w:bottom w:w="70" w:type="dxa"/>
              <w:right w:w="90" w:type="dxa"/>
            </w:tcMar>
            <w:vAlign w:val="center"/>
          </w:tcPr>
          <w:p w14:paraId="41897DC0" w14:textId="77777777" w:rsidR="001C6C79" w:rsidRDefault="00000000">
            <w:pPr>
              <w:spacing w:after="0"/>
            </w:pPr>
            <w:r>
              <w:rPr>
                <w:sz w:val="17"/>
              </w:rPr>
              <w:t>+0.072</w:t>
            </w:r>
          </w:p>
        </w:tc>
        <w:tc>
          <w:tcPr>
            <w:tcW w:w="4824" w:type="dxa"/>
            <w:tcMar>
              <w:top w:w="70" w:type="dxa"/>
              <w:left w:w="90" w:type="dxa"/>
              <w:bottom w:w="70" w:type="dxa"/>
              <w:right w:w="90" w:type="dxa"/>
            </w:tcMar>
            <w:vAlign w:val="center"/>
          </w:tcPr>
          <w:p w14:paraId="52A9F362" w14:textId="77777777" w:rsidR="001C6C79" w:rsidRDefault="00000000">
            <w:pPr>
              <w:spacing w:after="0"/>
            </w:pPr>
            <w:r>
              <w:rPr>
                <w:sz w:val="17"/>
              </w:rPr>
              <w:t>Modest positive effect from generally coarser D84</w:t>
            </w:r>
          </w:p>
        </w:tc>
      </w:tr>
      <w:tr w:rsidR="001C6C79" w14:paraId="67AAD646" w14:textId="77777777">
        <w:trPr>
          <w:jc w:val="center"/>
        </w:trPr>
        <w:tc>
          <w:tcPr>
            <w:tcW w:w="3240" w:type="dxa"/>
            <w:tcMar>
              <w:top w:w="70" w:type="dxa"/>
              <w:left w:w="90" w:type="dxa"/>
              <w:bottom w:w="70" w:type="dxa"/>
              <w:right w:w="90" w:type="dxa"/>
            </w:tcMar>
            <w:vAlign w:val="center"/>
          </w:tcPr>
          <w:p w14:paraId="397EB760" w14:textId="77777777" w:rsidR="001C6C79" w:rsidRDefault="00000000">
            <w:pPr>
              <w:spacing w:after="0"/>
            </w:pPr>
            <w:r>
              <w:rPr>
                <w:sz w:val="17"/>
              </w:rPr>
              <w:t>Modeled width / late-summer width</w:t>
            </w:r>
          </w:p>
        </w:tc>
        <w:tc>
          <w:tcPr>
            <w:tcW w:w="1656" w:type="dxa"/>
            <w:tcMar>
              <w:top w:w="70" w:type="dxa"/>
              <w:left w:w="90" w:type="dxa"/>
              <w:bottom w:w="70" w:type="dxa"/>
              <w:right w:w="90" w:type="dxa"/>
            </w:tcMar>
            <w:vAlign w:val="center"/>
          </w:tcPr>
          <w:p w14:paraId="4D4DB52A" w14:textId="77777777" w:rsidR="001C6C79" w:rsidRDefault="00000000">
            <w:pPr>
              <w:spacing w:after="0"/>
            </w:pPr>
            <w:r>
              <w:rPr>
                <w:sz w:val="17"/>
              </w:rPr>
              <w:t>-0.168</w:t>
            </w:r>
          </w:p>
        </w:tc>
        <w:tc>
          <w:tcPr>
            <w:tcW w:w="4824" w:type="dxa"/>
            <w:tcMar>
              <w:top w:w="70" w:type="dxa"/>
              <w:left w:w="90" w:type="dxa"/>
              <w:bottom w:w="70" w:type="dxa"/>
              <w:right w:w="90" w:type="dxa"/>
            </w:tcMar>
            <w:vAlign w:val="center"/>
          </w:tcPr>
          <w:p w14:paraId="392BFD8D" w14:textId="77777777" w:rsidR="001C6C79" w:rsidRDefault="00000000">
            <w:pPr>
              <w:spacing w:after="0"/>
            </w:pPr>
            <w:r>
              <w:rPr>
                <w:sz w:val="17"/>
              </w:rPr>
              <w:t>Offsets, rather than causes, the normalized WUA trend</w:t>
            </w:r>
          </w:p>
        </w:tc>
      </w:tr>
      <w:tr w:rsidR="001C6C79" w14:paraId="4B0023DD" w14:textId="77777777">
        <w:trPr>
          <w:jc w:val="center"/>
        </w:trPr>
        <w:tc>
          <w:tcPr>
            <w:tcW w:w="3240" w:type="dxa"/>
            <w:tcMar>
              <w:top w:w="70" w:type="dxa"/>
              <w:left w:w="90" w:type="dxa"/>
              <w:bottom w:w="70" w:type="dxa"/>
              <w:right w:w="90" w:type="dxa"/>
            </w:tcMar>
            <w:vAlign w:val="center"/>
          </w:tcPr>
          <w:p w14:paraId="1FEB2348" w14:textId="77777777" w:rsidR="001C6C79" w:rsidRDefault="00000000">
            <w:pPr>
              <w:spacing w:after="0"/>
            </w:pPr>
            <w:r>
              <w:rPr>
                <w:sz w:val="17"/>
              </w:rPr>
              <w:t>Mean normalized WUA</w:t>
            </w:r>
          </w:p>
        </w:tc>
        <w:tc>
          <w:tcPr>
            <w:tcW w:w="1656" w:type="dxa"/>
            <w:tcMar>
              <w:top w:w="70" w:type="dxa"/>
              <w:left w:w="90" w:type="dxa"/>
              <w:bottom w:w="70" w:type="dxa"/>
              <w:right w:w="90" w:type="dxa"/>
            </w:tcMar>
            <w:vAlign w:val="center"/>
          </w:tcPr>
          <w:p w14:paraId="1AB5518F" w14:textId="77777777" w:rsidR="001C6C79" w:rsidRDefault="00000000">
            <w:pPr>
              <w:spacing w:after="0"/>
            </w:pPr>
            <w:r>
              <w:rPr>
                <w:sz w:val="17"/>
              </w:rPr>
              <w:t>+0.693</w:t>
            </w:r>
          </w:p>
        </w:tc>
        <w:tc>
          <w:tcPr>
            <w:tcW w:w="4824" w:type="dxa"/>
            <w:tcMar>
              <w:top w:w="70" w:type="dxa"/>
              <w:left w:w="90" w:type="dxa"/>
              <w:bottom w:w="70" w:type="dxa"/>
              <w:right w:w="90" w:type="dxa"/>
            </w:tcMar>
            <w:vAlign w:val="center"/>
          </w:tcPr>
          <w:p w14:paraId="39068A9B" w14:textId="77777777" w:rsidR="001C6C79" w:rsidRDefault="00000000">
            <w:pPr>
              <w:spacing w:after="0"/>
            </w:pPr>
            <w:r>
              <w:rPr>
                <w:sz w:val="17"/>
              </w:rPr>
              <w:t>Net drainage-area response</w:t>
            </w:r>
          </w:p>
        </w:tc>
      </w:tr>
    </w:tbl>
    <w:p w14:paraId="5F6CC108" w14:textId="77777777" w:rsidR="001C6C79" w:rsidRDefault="00000000">
      <w:pPr>
        <w:pStyle w:val="Heading1"/>
      </w:pPr>
      <w:r>
        <w:t>Primary mechanisms</w:t>
      </w:r>
    </w:p>
    <w:p w14:paraId="6A363163" w14:textId="77777777" w:rsidR="001C6C79" w:rsidRDefault="00000000">
      <w:pPr>
        <w:spacing w:after="50"/>
        <w:ind w:left="216" w:hanging="216"/>
      </w:pPr>
      <w:r>
        <w:rPr>
          <w:b/>
        </w:rPr>
        <w:t xml:space="preserve">• Depth suitability: </w:t>
      </w:r>
      <w:r>
        <w:t>Larger reaches are systematically deeper. Width-weighted depth suitability increased from about 0.03 in the smallest drainage-area quintile to about 0.33 in the largest, moving more of the simulated channel into the favorable portion of the juvenile Chinook depth curve.</w:t>
      </w:r>
    </w:p>
    <w:p w14:paraId="3C1188DE" w14:textId="77777777" w:rsidR="001C6C79" w:rsidRDefault="00000000">
      <w:pPr>
        <w:spacing w:after="50"/>
        <w:ind w:left="216" w:hanging="216"/>
      </w:pPr>
      <w:r>
        <w:rPr>
          <w:b/>
        </w:rPr>
        <w:t xml:space="preserve">• Velocity and depth-velocity alignment: </w:t>
      </w:r>
      <w:r>
        <w:t>Larger reaches are generally lower-gradient and slower, bringing velocities closer to the juvenile Chinook optimum while suitable depths occur. Combined hydraulic suitability increased from about 0.002 to 0.123 across the drainage-area range.</w:t>
      </w:r>
    </w:p>
    <w:p w14:paraId="07BC87B1" w14:textId="77777777" w:rsidR="001C6C79" w:rsidRDefault="00000000">
      <w:pPr>
        <w:spacing w:after="50"/>
        <w:ind w:left="216" w:hanging="216"/>
      </w:pPr>
      <w:r>
        <w:rPr>
          <w:b/>
        </w:rPr>
        <w:t xml:space="preserve">• Substrate suitability: </w:t>
      </w:r>
      <w:r>
        <w:t>D84 generally increases with drainage area, commonly raising the substrate suitability score from about 0.3 to 0.5. This reinforces the hydraulic effect but is secondary.</w:t>
      </w:r>
    </w:p>
    <w:p w14:paraId="66AE3903" w14:textId="77777777" w:rsidR="001C6C79" w:rsidRDefault="00000000">
      <w:pPr>
        <w:spacing w:after="50"/>
        <w:ind w:left="216" w:hanging="216"/>
      </w:pPr>
      <w:r>
        <w:rPr>
          <w:b/>
        </w:rPr>
        <w:t xml:space="preserve">• Channel width: </w:t>
      </w:r>
      <w:r>
        <w:t>Wider channels increase raw WUA directly. This effect is largely removed by width normalization and therefore does not explain the persistent increase in normalized WUA.</w:t>
      </w:r>
    </w:p>
    <w:p w14:paraId="44CE0C45" w14:textId="77777777" w:rsidR="001C6C79" w:rsidRDefault="00000000">
      <w:pPr>
        <w:pStyle w:val="Heading1"/>
      </w:pPr>
      <w:r>
        <w:t>Interpretation for cross-stream comparisons</w:t>
      </w:r>
    </w:p>
    <w:p w14:paraId="2FB9874A" w14:textId="77777777" w:rsidR="001C6C79" w:rsidRDefault="00000000">
      <w:r>
        <w:rPr>
          <w:b/>
        </w:rPr>
        <w:t xml:space="preserve">The current normalized metric is not a purely size-independent habitat-quality index. </w:t>
      </w:r>
      <w:r>
        <w:t>It divides WUA by predicted late-summer wetted width, but WUA is still generated from each channel's full near-dry-to-bankfull hydraulic sequence. Because channel depth, slope, velocity, and substrate vary systematically with drainage area, those size-related hydraulic differences remain in the normalized metric.</w:t>
      </w:r>
    </w:p>
    <w:p w14:paraId="7B87DBA6" w14:textId="77777777" w:rsidR="001C6C79" w:rsidRDefault="00000000">
      <w:pPr>
        <w:spacing w:after="0"/>
      </w:pPr>
      <w:r>
        <w:rPr>
          <w:b/>
        </w:rPr>
        <w:t xml:space="preserve">For comparisons intended to isolate habitat quality from channel size, </w:t>
      </w:r>
      <w:r>
        <w:t>a cleaner metric would be composite suitability (WUA divided by modeled wetted width) evaluated over a common, biologically relevant flow range, such as late-summer discharge, rather than averaging the entire hydraulic sequence.</w:t>
      </w:r>
    </w:p>
    <w:sectPr w:rsidR="001C6C79" w:rsidSect="00034616">
      <w:footerReference w:type="default" r:id="rId8"/>
      <w:pgSz w:w="12240" w:h="15840"/>
      <w:pgMar w:top="893"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C09BE" w14:textId="77777777" w:rsidR="00132269" w:rsidRDefault="00132269">
      <w:pPr>
        <w:spacing w:after="0" w:line="240" w:lineRule="auto"/>
      </w:pPr>
      <w:r>
        <w:separator/>
      </w:r>
    </w:p>
  </w:endnote>
  <w:endnote w:type="continuationSeparator" w:id="0">
    <w:p w14:paraId="66E4442C" w14:textId="77777777" w:rsidR="00132269" w:rsidRDefault="00132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38AD" w14:textId="77777777" w:rsidR="001C6C79" w:rsidRDefault="00000000">
    <w:pPr>
      <w:pStyle w:val="Footer"/>
      <w:jc w:val="right"/>
    </w:pPr>
    <w:r>
      <w:rPr>
        <w:color w:val="646464"/>
        <w:sz w:val="15"/>
      </w:rPr>
      <w:t>GIFT WUA diagnostic summary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3785" w14:textId="77777777" w:rsidR="00132269" w:rsidRDefault="00132269">
      <w:pPr>
        <w:spacing w:after="0" w:line="240" w:lineRule="auto"/>
      </w:pPr>
      <w:r>
        <w:separator/>
      </w:r>
    </w:p>
  </w:footnote>
  <w:footnote w:type="continuationSeparator" w:id="0">
    <w:p w14:paraId="54F49274" w14:textId="77777777" w:rsidR="00132269" w:rsidRDefault="001322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363062">
    <w:abstractNumId w:val="8"/>
  </w:num>
  <w:num w:numId="2" w16cid:durableId="1460105157">
    <w:abstractNumId w:val="6"/>
  </w:num>
  <w:num w:numId="3" w16cid:durableId="1935354711">
    <w:abstractNumId w:val="5"/>
  </w:num>
  <w:num w:numId="4" w16cid:durableId="79102482">
    <w:abstractNumId w:val="4"/>
  </w:num>
  <w:num w:numId="5" w16cid:durableId="109323049">
    <w:abstractNumId w:val="7"/>
  </w:num>
  <w:num w:numId="6" w16cid:durableId="1259827646">
    <w:abstractNumId w:val="3"/>
  </w:num>
  <w:num w:numId="7" w16cid:durableId="1625888389">
    <w:abstractNumId w:val="2"/>
  </w:num>
  <w:num w:numId="8" w16cid:durableId="698241526">
    <w:abstractNumId w:val="1"/>
  </w:num>
  <w:num w:numId="9" w16cid:durableId="571476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269"/>
    <w:rsid w:val="0015074B"/>
    <w:rsid w:val="001C6C79"/>
    <w:rsid w:val="0029639D"/>
    <w:rsid w:val="00326F90"/>
    <w:rsid w:val="00563761"/>
    <w:rsid w:val="00A451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DF6B3"/>
  <w14:defaultImageDpi w14:val="300"/>
  <w15:docId w15:val="{018B6052-AD65-49CC-8C77-9E70B8354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F4E79"/>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b/>
      <w:color w:val="1F1F1F"/>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2464</Characters>
  <Application>Microsoft Office Word</Application>
  <DocSecurity>0</DocSecurity>
  <Lines>68</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Landy</cp:lastModifiedBy>
  <cp:revision>2</cp:revision>
  <dcterms:created xsi:type="dcterms:W3CDTF">2026-09-17T23:53:00Z</dcterms:created>
  <dcterms:modified xsi:type="dcterms:W3CDTF">2026-09-17T23:53:00Z</dcterms:modified>
  <cp:category/>
</cp:coreProperties>
</file>