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Heading4"/>
        <w:spacing w:before="280" w:after="60"/>
        <w:jc w:val="center"/>
        <w:rPr>
          <w:b/>
          <w:b/>
          <w:color w:val="030607"/>
          <w:lang w:val="ru-RU"/>
        </w:rPr>
      </w:pPr>
      <w:bookmarkStart w:id="0" w:name="_heading=h.gjdgxs"/>
      <w:bookmarkEnd w:id="0"/>
      <w:r>
        <w:rPr>
          <w:b/>
          <w:color w:val="030607"/>
        </w:rPr>
        <w:t xml:space="preserve">ПАРТНЕРСКИЙ ДОГОВОР № </w:t>
      </w:r>
      <w:r>
        <w:rPr>
          <w:b/>
          <w:color w:val="030607"/>
          <w:lang w:val="ru-RU"/>
        </w:rPr>
        <w:t>2024-3558</w:t>
      </w:r>
    </w:p>
    <w:p>
      <w:pPr>
        <w:pStyle w:val="Normal"/>
        <w:spacing w:before="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г. Алматы                                                                                                                                                         «19» января 2024 г.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30607"/>
          <w:sz w:val="20"/>
          <w:szCs w:val="20"/>
        </w:rPr>
        <w:t>Товарищество с ограниченной ответственностью «Логнекс»</w:t>
      </w:r>
      <w:r>
        <w:rPr>
          <w:rFonts w:eastAsia="Times New Roman" w:cs="Times New Roman" w:ascii="Times New Roman" w:hAnsi="Times New Roman"/>
          <w:color w:val="030607"/>
          <w:sz w:val="20"/>
          <w:szCs w:val="20"/>
        </w:rPr>
        <w:t xml:space="preserve"> (далее – Лицензиар) в лице генерального директора Рахимбердиева Аскара Мариковича, действующего на основании Устава, и </w:t>
      </w:r>
      <w:r>
        <w:rPr>
          <w:rFonts w:eastAsia="Times New Roman" w:cs="Times New Roman" w:ascii="Times New Roman" w:hAnsi="Times New Roman"/>
          <w:b/>
          <w:color w:val="030607"/>
          <w:sz w:val="20"/>
          <w:szCs w:val="20"/>
          <w:lang w:val="ru-RU"/>
        </w:rPr>
        <w:t xml:space="preserve">ST Group </w:t>
      </w:r>
      <w:r>
        <w:rPr>
          <w:rFonts w:eastAsia="Times New Roman" w:cs="Times New Roman" w:ascii="Times New Roman" w:hAnsi="Times New Roman"/>
          <w:color w:val="030607"/>
          <w:sz w:val="20"/>
          <w:szCs w:val="20"/>
        </w:rPr>
        <w:t>(далее Партнер), совместно именуемые «Стороны», а по отдельности – «Сторона», заключили настоящий Договор о нижеследующем: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ТЕРМИНЫ И ОПРЕДЕЛЕНИЯ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7"/>
        <w:tblW w:w="921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702"/>
        <w:gridCol w:w="7512"/>
      </w:tblGrid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Вендор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ООО «Логнекс», правообладатель набора программ для ЭВМ «МойСклад».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Регистрация партнера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регистрация на Сайте в качестве Партнера и подтверждение регистрации Партнера.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Биллинг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персональный раздел Партнера на Сайте, расположенный по адресу: </w:t>
            </w:r>
            <w:hyperlink r:id="rId2">
              <w:r>
                <w:rPr>
                  <w:rFonts w:eastAsia="Times New Roman" w:cs="Times New Roman" w:ascii="Times New Roman" w:hAnsi="Times New Roman"/>
                  <w:color w:val="1155CC"/>
                  <w:sz w:val="20"/>
                  <w:szCs w:val="20"/>
                  <w:u w:val="single"/>
                </w:rPr>
                <w:t>https://mgmt.moysklad.ru</w:t>
              </w:r>
            </w:hyperlink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Магазин приложений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каталог Приложений, расположенный в Биллинге по адресу: </w:t>
            </w:r>
            <w:r>
              <w:fldChar w:fldCharType="begin"/>
            </w:r>
            <w:r>
              <w:rPr>
                <w:sz w:val="20"/>
                <w:u w:val="single"/>
                <w:szCs w:val="20"/>
                <w:rFonts w:eastAsia="Times New Roman" w:cs="Times New Roman" w:ascii="Times New Roman" w:hAnsi="Times New Roman"/>
                <w:color w:val="1155CC"/>
              </w:rPr>
              <w:instrText xml:space="preserve"> HYPERLINK "https://online.moysklad.ru/app/" \l "apps"</w:instrText>
            </w:r>
            <w:r>
              <w:rPr>
                <w:sz w:val="20"/>
                <w:u w:val="single"/>
                <w:szCs w:val="20"/>
                <w:rFonts w:eastAsia="Times New Roman" w:cs="Times New Roman" w:ascii="Times New Roman" w:hAnsi="Times New Roman"/>
                <w:color w:val="1155CC"/>
              </w:rPr>
              <w:fldChar w:fldCharType="separate"/>
            </w:r>
            <w:r>
              <w:rPr>
                <w:rFonts w:eastAsia="Times New Roman" w:cs="Times New Roman" w:ascii="Times New Roman" w:hAnsi="Times New Roman"/>
                <w:color w:val="1155CC"/>
                <w:sz w:val="20"/>
                <w:szCs w:val="20"/>
                <w:u w:val="single"/>
              </w:rPr>
              <w:t>https://online.moysklad.ru/app/#apps</w:t>
            </w:r>
            <w:r>
              <w:rPr>
                <w:sz w:val="20"/>
                <w:u w:val="single"/>
                <w:szCs w:val="20"/>
                <w:rFonts w:eastAsia="Times New Roman" w:cs="Times New Roman" w:ascii="Times New Roman" w:hAnsi="Times New Roman"/>
                <w:color w:val="1155CC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Материалы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перечень документов, которые включают в себя форму Соглашения с Пользователем, материалы для Партнеров и руководство Пользователя.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Партнер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индивидуальный предприниматель или юридическое лицо, прошедший Регистрацию партнера и подписавший настоящий партнерский договор.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Пользователь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физическое или юридическое лицо, индивидуальный предприниматель, зарегистрированный на Сайте.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Приложение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программа для ЭВМ, размещенная в Магазине приложений, правообладателем которой является Разработчик. 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Разработчик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юридическое лицо или индивидуальный предприниматель, правообладатель Приложения, зарегистрированный на Сайте.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Реквизиты доступа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комбинация логина и пароля для доступа к Сервису, которая предоставляется при регистрации в Сервисе.</w:t>
            </w:r>
          </w:p>
        </w:tc>
      </w:tr>
      <w:tr>
        <w:trPr>
          <w:trHeight w:val="365" w:hRule="atLeast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Сайт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сайт Вендора, расположенный в сети Интернет по адресу </w:t>
            </w:r>
            <w:hyperlink r:id="rId3">
              <w:r>
                <w:rPr>
                  <w:rFonts w:eastAsia="Times New Roman" w:cs="Times New Roman" w:ascii="Times New Roman" w:hAnsi="Times New Roman"/>
                  <w:color w:val="1155CC"/>
                  <w:sz w:val="20"/>
                  <w:szCs w:val="20"/>
                  <w:u w:val="single"/>
                </w:rPr>
                <w:t>https://moysklad.ru</w:t>
              </w:r>
            </w:hyperlink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, и его поддомены.</w:t>
            </w:r>
          </w:p>
        </w:tc>
      </w:tr>
      <w:tr>
        <w:trPr>
          <w:trHeight w:val="855" w:hRule="atLeast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306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30607"/>
                <w:sz w:val="20"/>
                <w:szCs w:val="20"/>
              </w:rPr>
              <w:t xml:space="preserve">Сервис </w:t>
            </w:r>
          </w:p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30607"/>
                <w:sz w:val="20"/>
                <w:szCs w:val="20"/>
              </w:rPr>
              <w:t xml:space="preserve">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color w:val="0306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30607"/>
                <w:sz w:val="20"/>
                <w:szCs w:val="20"/>
              </w:rPr>
              <w:t>взаимосвязанный набор программ для ЭВМ, предназначенных для организации оперативного учета и автоматизации бизнес-процессов Пользователя.  Сервис включает в себя: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60"/>
              <w:jc w:val="both"/>
              <w:rPr>
                <w:rFonts w:ascii="Times New Roman" w:hAnsi="Times New Roman" w:eastAsia="Times New Roman" w:cs="Times New Roman"/>
                <w:color w:val="0306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30607"/>
                <w:sz w:val="20"/>
                <w:szCs w:val="20"/>
              </w:rPr>
              <w:t>онлайн-сервис МойСклад;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60"/>
              <w:jc w:val="both"/>
              <w:rPr>
                <w:rFonts w:ascii="Times New Roman" w:hAnsi="Times New Roman" w:eastAsia="Times New Roman" w:cs="Times New Roman"/>
                <w:color w:val="0306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30607"/>
                <w:sz w:val="20"/>
                <w:szCs w:val="20"/>
              </w:rPr>
              <w:t>Мобильное приложение МойСклад для Android, iOS;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60"/>
              <w:jc w:val="both"/>
              <w:rPr>
                <w:rFonts w:ascii="Times New Roman" w:hAnsi="Times New Roman" w:eastAsia="Times New Roman" w:cs="Times New Roman"/>
                <w:color w:val="0306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30607"/>
                <w:sz w:val="20"/>
                <w:szCs w:val="20"/>
              </w:rPr>
              <w:t>Мобильное приложение Касса МойСклад для Android, iOS;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60"/>
              <w:jc w:val="both"/>
              <w:rPr>
                <w:rFonts w:ascii="Times New Roman" w:hAnsi="Times New Roman" w:eastAsia="Times New Roman" w:cs="Times New Roman"/>
                <w:color w:val="0306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30607"/>
                <w:sz w:val="20"/>
                <w:szCs w:val="20"/>
              </w:rPr>
              <w:t>Программа для ЭВМ  Касса МойСклад для Win, Linux, MacOS.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Соглашение с Пользователем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договор между Партнером и Пользователем о предоставлении права использования Сервиса.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Статус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утвержденный перечень привилегий и размера скидки Партнера, расположенный на Сайте по адресу</w:t>
              <w:br/>
            </w:r>
            <w:hyperlink r:id="rId4">
              <w:r>
                <w:rPr>
                  <w:rFonts w:eastAsia="Times New Roman" w:cs="Times New Roman" w:ascii="Times New Roman" w:hAnsi="Times New Roman"/>
                  <w:color w:val="1155CC"/>
                  <w:sz w:val="20"/>
                  <w:szCs w:val="20"/>
                  <w:u w:val="single"/>
                </w:rPr>
                <w:t>https://partners.moysklad.ru/personal/learning/docs/</w:t>
              </w:r>
            </w:hyperlink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Скидка Партнера со Статусом «Новый партнер» составляет 40% на Сервис согласно Тарифам и 30% на Приложения.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6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Скидка Партнера со Статусом «Эксперт» составляет 50% на Сервис согласно Тарифам и 30% на Приложения.</w:t>
            </w:r>
            <w:r>
              <w:rPr>
                <w:rFonts w:cs="Times New Roman" w:ascii="Times New Roman" w:hAnsi="Times New Roman"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Статус «Эксперт» присваивается при суммарном объеме продаж лицензий Сервиса на сумму более 1 500 000 тенге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партнерских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ценах. Для подтверждения и сохранения статуса «Эксперт» необходимо поддерживать ежеквартальные объемы продаж на уровне от 300 000 тенге в партнерских ценах в квартал и участвовать не менее чем в двух отраслевых мероприятиях в год для продвижения МойСклад.</w:t>
            </w:r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Тариф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Рекомендованная стоимость лицензий на Сервис для Пользователе,  указанная по адресу: </w:t>
            </w:r>
            <w:hyperlink r:id="rId5" w:tgtFrame="_blank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https://www.moysklad.kz/subscription/</w:t>
              </w:r>
            </w:hyperlink>
          </w:p>
        </w:tc>
      </w:tr>
      <w:tr>
        <w:trPr/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Партнерская цена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Цена за Тариф и дополнительные опции с учетом скидки партнера</w:t>
            </w:r>
          </w:p>
        </w:tc>
      </w:tr>
    </w:tbl>
    <w:p>
      <w:pPr>
        <w:pStyle w:val="Normal"/>
        <w:widowControl w:val="false"/>
        <w:spacing w:before="0" w:after="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before="0" w:after="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ПРЕДМЕТ ДОГОВОРА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предоставляет Партнеру право использования: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Сервиса (неисключительную лицензию) с целью передачи этого права Пользователям;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Приложения из Магазина приложений (неисключительную сублицензию) с целью передачи этого права Пользователям.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оплачивает предусмотренное Договором вознаграждение.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Процедура регистрации на Сайте в качестве Партнера и условия партнерства указаны по следующему адресу: </w:t>
      </w:r>
      <w:hyperlink r:id="rId6">
        <w:r>
          <w:rPr>
            <w:rFonts w:eastAsia="Times New Roman" w:cs="Times New Roman" w:ascii="Times New Roman" w:hAnsi="Times New Roman"/>
            <w:color w:val="1155CC"/>
            <w:sz w:val="20"/>
            <w:szCs w:val="20"/>
            <w:u w:val="single"/>
          </w:rPr>
          <w:t>https://partners.moysklad.ru/</w:t>
        </w:r>
      </w:hyperlink>
      <w:r>
        <w:rPr>
          <w:rFonts w:eastAsia="Times New Roman"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spacing w:before="0" w:after="60"/>
        <w:ind w:left="85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ИСПОЛЬЗОВАНИЕ СЕРВИСА / ПРИЛОЖЕНИЯ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предоставляет Партнеру право использования Сервиса / Приложения путем воспроизведения, ограниченного установкой, запуском, настройкой с ограничениями, предусмотренными Договором.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Сервис / Приложения могут предоставляться следующими способами: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без скачивания дистрибутива на Сайте с использованием сети Интернет;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путем скачивания дистрибутива.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вправе использовать Сервис / Приложение по всему миру в течение срока действия оплаченного Тарифа.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Лицензиар вправе распоряжаться исключительным правом на Сервис в любой форме и способом, в том числе, предоставлять третьим лицам права на использование Сервиса на условиях, аналогичным тем, что установлены Договором. 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вправе в одностороннем порядке вносить изменения в Материалы. Лицензиар уведомляет Партнера о внесенных изменениях путем направления электронного письма на адрес его электронной почты, указанной при регистрации на Сайте.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вправе передавать полученные по Договору права на Сервис / Приложения Пользователям.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Пользователю запрещено передавать предоставленные Партнером права на Сервис / Приложения третьим лицам. 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вправе размещать товарный знак Вендора и/или иные изображения, являющиеся средством индивидуализации Вендора, информационные и рекламные материалы о Сервисе, в своих рекламных материалах и на своем веб-сайте после согласования с Лицензиаром места и формы размещения.</w:t>
      </w:r>
    </w:p>
    <w:p>
      <w:pPr>
        <w:pStyle w:val="Normal"/>
        <w:spacing w:before="0" w:after="60"/>
        <w:ind w:left="85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ЗАКАЗ ЛИЦЕНЗИИ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самостоятельно ищет потенциальных Пользователей.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Для заключения сделки с Пользователем Партнер вправе использовать форму Соглашения с Пользователем, предусмотренную Материалами, а также иную форму, включающие условия о сублицензии. 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При использовании иной формы соглашения Партнер гарантирует, что ее условия не противоречат Соглашению с Пользователем, а объем и способы предоставляемых по такой форме прав не должны выходить за пределы, установленные Соглашением с Пользователем. 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самостоятельно регистрирует Пользователя на Сайте и подключает ему в Биллинге Тариф.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не позднее 5 числа месяца, следующего за месяцем, в котором Партнер подключал Тарифы, составляет акт о всех случаях предоставления Партнеру права использования Сервиса / Приложения за отчетный период, а также счет на оплату лицензионного вознаграждения Лицензиара, и направляет их Партнеру по электронной почте, а по письменному запросу Партнера и при наличии технической возможности — через соответствующий сервис электронного документооборота (ЭДО).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Если по истечении 5 (пяти) рабочих дней с момента получения счета Партнер не оплатил лицензионное вознаграждение, доступ к Сервису / Приложению согласно выбранному Тарифу прекращает предоставляться.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Обязательство по предоставлению права использования Сервиса / Приложения считается исполненным с момента оплаты лицензионного вознаграждения Лицензиара.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ЛИЦЕНЗИОННОЕ ВОЗНАГРАЖДЕНИЕ </w:t>
      </w:r>
    </w:p>
    <w:p>
      <w:pPr>
        <w:pStyle w:val="Normal"/>
        <w:widowControl w:val="false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Размер лицензионного вознаграждения Лицензиара определяется как разница между ценой Соглашения с Пользователем и процентом скидки, предоставленной Партнеру в зависимости от его Статуса. 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Цена Соглашения с Пользователем определяется согласно Тарифам. 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Отступление от суммы, указанной в Тарифах, возможно только при получении письменного согласия Лицензиара.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Лицензиар имеет право изменять Тарифы в одностороннем порядке, без предварительного согласования с Партнером, при этом стоимость уже оплаченного Тарифа остается неизменной. 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уведомляет об изменении Тарифов путем размещения информации на Сайте. Изменения вступают в силу на следующий календарный день после размещения информации на Сайте.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оплачивает лицензионное вознаграждение путем внесения денежных средств в полном объеме на расчетный счет Лицензиара в течение 5 (пяти) календарных дней с момента получения счета за подключенный Тариф согласно пункту 3.5.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обязан оплачивать счета Лицензиара только от своего имени и со своих счетов. Оплата через третьих лиц не допускается.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Все расчеты по Договору производятся в тенге. Обязательства по оплате считаются исполненными с момента зачисления денежных средств на расчетный счет Лицензиара.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ЗАПРЕЩЕННЫЕ ДЕЙСТВИЯ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Партнер не вправе: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нарушать правила лицензионного использования Сервиса;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использовать Сервис / Приложение способами, прямо не предусмотренными Договором, в том числе, но не ограничиваясь: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копировать Сервис / Приложение полностью или в части;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модифицировать, переводить на другие языки, декомпилировать, дизассемблировать или иным образом перерабатывать Сервис / Приложение и создавать производные программные продукты от Сервиса / Приложения;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проводить реверсивный инжиниринг и/или иным способом пытаться получить доступ к исходному коду Сервиса / Приложения;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использовать Сервис / Приложение для разработки программного продукта со сходным функциональным назначением, который может составить конкуренцию Сервису / Приложению.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удалять уведомления об авторских правах и иных исключительных правах Вендора;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скрывать от Лицензиара факт нарушения Пользователями условий соответствующих договоров и/или несвоевременно уведомлять Лицензиара о таком нарушении;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препятствовать Лицензиару при проверке соблюдения Партнером условий Договора, если такая проверка не препятствует обычной хозяйственной деятельности Партнера;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предоставлять права использования Сервиса / Приложения Пользователям безвозмездно либо за вознаграждение, размер которого отличается от указанного в Тарифах, без письменного согласования с Лицензиаром;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без согласования с Лицензиаром использовать в своей контекстной рекламе (в качестве ключевых фраз и/или в тексте объявлений) бренд и название юридического лица Вендора, их вариации и производные. Таким образом, запрещена реклама, содержащая любые вхождения следующих слов/фраз: «мойсклад», «мой склад», «moysklad», «moisklad», «vjqcrkfl», «логнекс»;</w:t>
      </w:r>
    </w:p>
    <w:p>
      <w:pPr>
        <w:pStyle w:val="Normal"/>
        <w:numPr>
          <w:ilvl w:val="1"/>
          <w:numId w:val="1"/>
        </w:numPr>
        <w:spacing w:before="0" w:after="60"/>
        <w:ind w:left="850" w:right="40" w:hanging="85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передавать, разглашать или каким-либо иным образом раскрывать Реквизиты доступа третьим лицам, а также скрывать информацию от Лицензиара о таких событиях;</w:t>
      </w:r>
    </w:p>
    <w:p>
      <w:pPr>
        <w:pStyle w:val="Normal"/>
        <w:numPr>
          <w:ilvl w:val="1"/>
          <w:numId w:val="1"/>
        </w:numPr>
        <w:spacing w:before="0" w:after="60"/>
        <w:ind w:left="850" w:right="40" w:hanging="85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совершать действия, которые могут причинить ущерб, порочить деловую репутацию Лицензиара и Вендора.</w:t>
      </w:r>
    </w:p>
    <w:p>
      <w:pPr>
        <w:pStyle w:val="Normal"/>
        <w:spacing w:before="0" w:after="60"/>
        <w:ind w:left="720" w:right="4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ГАРАНТИИ СТОРОН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гарантирует, что обладает всеми необходимыми правами на Сервис / Приложения из Магазина приложений для правомерного их предоставления третьим лицам.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Сервис предоставляется на условиях «как есть» («as is»).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не дает никаких явно выраженных или подразумеваемых гарантий в отношении Сервиса / Приложения, в том числе, не гарантирует (включая, но не ограничиваясь): пригодность для конкретных целей, прибыльность использования, производительность, системную интеграцию, бесперебойное функционирование, отсутствие ошибок, исправление неполадок.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гарантирует, что будет соблюдать, а также обяжет Пользователей соблюдать и требовать от своих контрагентов соблюдения следующих условий: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не нарушать условия, установленные Договором и Соглашением с Пользователем;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при публикациях любых рекламных или иных информационных материалов, а также при проведении каких-либо акций или мероприятий, имеющих отношение к Сервису / Приложению, письменно согласовывать их содержание с Лицензиаром;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при обнаружении недостатков в работе Сервиса / Приложения и/или выявлении конфликтов с какими-либо иными программами для ЭВМ, незамедлительно предоставлять такую информацию Лицензиару, а также предпринять меры по защите такой информации от доступа третьих лиц. Указанная информация может быть опубликована и иным образом доведена до третьих лиц только Лицензиаром.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гарантирует выполнение требований Федерального Закона Республики Казахстан от 21 мая 2013 года № 94-V «О персональных данных и их защите».</w:t>
      </w:r>
    </w:p>
    <w:p>
      <w:pPr>
        <w:pStyle w:val="Normal"/>
        <w:spacing w:before="0" w:after="6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ОТВЕТСТВЕННОСТЬ СТОРОН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Если Партнер не оплачивает выставленные Лицензиаром счета более 3 (трех) раз подряд, Лицензиар вправе потребовать от Партнера выплатить штраф в размере 10 000 (десять тысяч) тенге либо досрочно прекратить Договор.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В случае нарушения Партнером любого из принятых на себя обязательств либо любого из выраженных в Договоре гарантий, Лицензиар вправе потребовать от Партнера выплатить штраф в размере 10 000 (десять тысяч) тенге за каждый случай нарушения, а также возместить Лицензиару все понесенные убытки.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Лицензиар не несет ответственности и не возмещает убытки Партнера: 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вызванные нарушениями и/или ошибками при эксплуатации Сервиса / Приложения, возникшие в результате неправомерных действий сотрудников Партнера или третьих лиц, а также неполадок </w:t>
      </w:r>
    </w:p>
    <w:p>
      <w:pPr>
        <w:pStyle w:val="Normal"/>
        <w:spacing w:before="0" w:after="60"/>
        <w:ind w:left="141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  <w:br/>
        <w:t>технических средств и сбоев электрооборудования, любых действий и/или бездействий поставщиков услуг, сервисов, сетей, программного обеспечения или оборудования;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связанные с недополученной прибылью, прерыванием коммерческой или производственной деятельности или возникшие вследствие использования или невозможности использования Сервиса / Приложения.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подтверждает, что ему известны функциональные свойства Сервиса / Приложения и условия Соглашения с Пользователем.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Партнер обязан консультировать Пользователей по вопросам, касающимся стоимости и функциональных возможностей Сервиса, а также оказывать Пользователям техническую поддержку в соответствии с Регламентом оказания технической поддержки, размещенному на Сайте по адресу</w:t>
        <w:br/>
      </w:r>
      <w:hyperlink r:id="rId7">
        <w:r>
          <w:rPr>
            <w:rFonts w:eastAsia="Times New Roman" w:cs="Times New Roman" w:ascii="Times New Roman" w:hAnsi="Times New Roman"/>
            <w:color w:val="1155CC"/>
            <w:sz w:val="20"/>
            <w:szCs w:val="20"/>
            <w:u w:val="single"/>
          </w:rPr>
          <w:t>http://www.moysklad.ru/downloads/sla.pdf</w:t>
        </w:r>
      </w:hyperlink>
      <w:r>
        <w:rPr>
          <w:rFonts w:eastAsia="Times New Roman" w:cs="Times New Roman" w:ascii="Times New Roman" w:hAnsi="Times New Roman"/>
          <w:sz w:val="20"/>
          <w:szCs w:val="20"/>
        </w:rPr>
        <w:t xml:space="preserve">.  </w:t>
      </w:r>
    </w:p>
    <w:p>
      <w:pPr>
        <w:pStyle w:val="Normal"/>
        <w:spacing w:before="0" w:after="6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КОНФИДЕНЦИАЛЬНОСТЬ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Условия Договора и иная информация, полученная в ходе исполнения Договора Сторонами, конфиденциальны и не подлежат разглашению за исключением случаев, предусмотренных законодательством Республики Казахстан.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Стороны обязаны использовать конфиденциальную информацию исключительно в целях исполнения Договора и должны принять все необходимые меры к ее защите от несанкционированного доступа, распространения и использования, в том числе: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ограничить доступ к этой информации минимально необходимым кругом лиц, которым данная информация, необходима для исполнения Договора;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обеспечить принятие лицами, допущенными к работе с конфиденциальной информацией, обязательств по ее неразглашению;</w:t>
      </w:r>
    </w:p>
    <w:p>
      <w:pPr>
        <w:pStyle w:val="Normal"/>
        <w:widowControl w:val="false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полностью или частично исключить передачу такой информации третьим лицам, в том числе ее публичное раскрытие в средствах массовой информации или иным образом, без предварительного письменного согласия владельца информации, за исключением случаев, предусмотренных законодательством РК.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Раскрытие конфиденциальной информации любой из Сторон может осуществляться только с письменного разрешения другой Стороны.</w:t>
      </w:r>
    </w:p>
    <w:p>
      <w:pPr>
        <w:pStyle w:val="Normal"/>
        <w:spacing w:before="0" w:after="6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РАЗРЕШЕНИЕ СПОРОВ И ПРИМЕНИМОЕ ПРАВО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Все споры, которые возникнут между Сторонами в ходе исполнения Договора, разрешаются путем переговоров.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Претензионный порядок урегулирования споров, вытекающих из исполнения Договора, является для Сторон обязательным. Срок рассмотрения претензионного письма составляет 30 (тридцать) календарных дней со дня его получения.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В случае недостижения Сторонами согласия относительно предмета спора, он передается на разрешение в Арбитражный суд по месту нахождения Лицензиара.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ДЕЙСТВИЕ ДОГОВОРА 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Настоящий Договор вступает в силу с момента подписания его обеими сторонами и действует до 31 декабря года, в котором был подписан, если до конца указанного срока ни одна из сторон не направит другой стороне заявление о намерении прекратить действие Договора, срок автоматически продлевается на следующий календарный год.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вправе отказаться от исполнения Договора в одностороннем порядке, путем направления письменного уведомления Партнеру в случае, если Партнер: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нарушил гарантии по Договору;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более 3 (трех) раз подряд не оплатил выставленный счет на оплату лицензионного вознаграждения Лицензиара.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Расторжение Договора не влечет прекращение права использования Сервиса / Приложения Пользователем, предоставленного до даты прекращения действия Договора. Срок использования Сервиса / Приложения регулируется Соглашением с Пользователем.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В случае досрочного прекращения Договора Лицензиар прекращает доступ к Биллингу.</w:t>
      </w:r>
    </w:p>
    <w:p>
      <w:pPr>
        <w:pStyle w:val="Normal"/>
        <w:spacing w:before="0" w:after="60"/>
        <w:ind w:left="85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60"/>
        <w:ind w:left="85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ЗАКЛЮЧИТЕЛЬНЫЕ ПОЛОЖЕНИЯ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Любые соглашения сторон по изменению или дополнению условий настоящего Договора имеют силу в том случае, если они оформлены в письменном виде и подписаны Сторонами.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Настоящий Договор составлен и подписан в двух экземплярах, обладающих равной юридической силой, по одному для каждой из сторон.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Настоящий Договор может быть расторгнут каждой из сторон в одностороннем порядке досрочно, при условии уведомления об этом в письменном виде другой стороны не менее, чем за 30 календарных дней.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Лицензиар имеет право досрочно расторгнуть настоящий Договор в случае нарушения Партнером условий настоящего Договора.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Стороны пришли к соглашению, что любые документы направляются Сторонами друг другу в Биллинге, или по ЭДО, или по следующим адресам электронной почты: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Со стороны Лицензиар: адреса электронной почты с домена kladana.com;</w:t>
      </w:r>
    </w:p>
    <w:p>
      <w:pPr>
        <w:pStyle w:val="Normal"/>
        <w:numPr>
          <w:ilvl w:val="2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Со стороны Партнера: адрес электронной почты, указанный Партнером при Регистрации.</w:t>
      </w:r>
    </w:p>
    <w:p>
      <w:pPr>
        <w:pStyle w:val="Normal"/>
        <w:numPr>
          <w:ilvl w:val="1"/>
          <w:numId w:val="1"/>
        </w:numPr>
        <w:spacing w:before="0" w:after="6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Переписка по электронной почте имеет юридическую силу, в том числе в случае судебного разбирательства. Такой способ обмена документами и информацией является надлежащим.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12.  ЮРИДИЧЕСКИЕ АДРЕСА И РЕКВИЗИТЫ СТОРОН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8"/>
        <w:tblW w:w="903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600" w:noHBand="1" w:noVBand="1" w:firstColumn="0" w:lastRow="0" w:lastColumn="0" w:firstRow="0"/>
      </w:tblPr>
      <w:tblGrid>
        <w:gridCol w:w="5182"/>
        <w:gridCol w:w="3847"/>
      </w:tblGrid>
      <w:tr>
        <w:trPr>
          <w:trHeight w:val="5220" w:hRule="atLeast"/>
        </w:trPr>
        <w:tc>
          <w:tcPr>
            <w:tcW w:w="5182" w:type="dxa"/>
            <w:tcBorders/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ЛИЦЕНЗИАР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ТОО «Логнекс»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БИН: 220340019076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Юридический адрес: Казахстан, город Алматы, Бостандыкский район, улица Еділ Ерғожин, дом 27, почтовый индекс 050060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Р/с в тенге: KZ728562203116228832 (KZT)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Банк: АО «Банк ЦентрКредит» в г. Алматы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БИК: KCJBKZKX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___________/Рахимбердиев А.М.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ab/>
              <w:t>М.П.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47" w:type="dxa"/>
            <w:tcBorders/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ПАРТНЕР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 Group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ИИН: 930924300760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Местонахождение: Алматы, Жароков 37/3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Р/с: KZ53722S000015469030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Банк: АО Kaspi Bank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БИК:   CASPKZKA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E-mail: atemirga@gmail.com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___________/ _____________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ab/>
              <w:t>М.П.</w:t>
            </w:r>
          </w:p>
        </w:tc>
      </w:tr>
    </w:tbl>
    <w:p>
      <w:pPr>
        <w:pStyle w:val="Normal"/>
        <w:spacing w:before="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20" w:after="80"/>
        <w:ind w:left="0" w:hanging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/>
          <w:color w:val="030607"/>
          <w:sz w:val="28"/>
          <w:szCs w:val="28"/>
        </w:rPr>
        <w:t>Образец акта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049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217"/>
        <w:gridCol w:w="869"/>
        <w:gridCol w:w="367"/>
        <w:gridCol w:w="146"/>
        <w:gridCol w:w="829"/>
        <w:gridCol w:w="142"/>
        <w:gridCol w:w="1352"/>
        <w:gridCol w:w="1921"/>
        <w:gridCol w:w="3619"/>
        <w:gridCol w:w="31"/>
      </w:tblGrid>
      <w:tr>
        <w:trPr>
          <w:trHeight w:val="675" w:hRule="atLeast"/>
        </w:trPr>
        <w:tc>
          <w:tcPr>
            <w:tcW w:w="208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Лицензиар:</w:t>
            </w:r>
          </w:p>
        </w:tc>
        <w:tc>
          <w:tcPr>
            <w:tcW w:w="8376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ТОВАРИЩЕСТВО С ОГРАНИЧЕННОЙ ОТВЕТСТВЕННОСТЬЮ "ЛОГНЕКС",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БИН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FFFFFF" w:val="clear"/>
              </w:rPr>
              <w:t>220340019076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, 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050060, Казахстан, город Алматы, Бостандыкский район, улица Еділ Ерғожин, дом 27 </w:t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208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Лицензиат:</w:t>
            </w:r>
          </w:p>
        </w:tc>
        <w:tc>
          <w:tcPr>
            <w:tcW w:w="837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exac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10462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Акт № _____ от _______</w:t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10462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о предоставлении права использования (лицензии)</w:t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5" w:hRule="exact"/>
        </w:trPr>
        <w:tc>
          <w:tcPr>
            <w:tcW w:w="12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10462" w:type="dxa"/>
            <w:gridSpan w:val="9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Настоящим Лицензиар в лице Генерального директора Рахимбердиева Аскара Мариковича, действующего на основании Устава общества, подтверждает, что за период с 1.__.20__ по __.__.20__  предоставил Лицензиату неисключительные права на использование следующих программ для ЭВМ:</w:t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5" w:hRule="exact"/>
        </w:trPr>
        <w:tc>
          <w:tcPr>
            <w:tcW w:w="1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8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№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п/п</w:t>
            </w:r>
          </w:p>
        </w:tc>
        <w:tc>
          <w:tcPr>
            <w:tcW w:w="23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Наименование программы для ЭВМ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Кол-во лицензий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Стоимость лицензии, тенге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Сумма вознаграждения Лицензиара с учетом НДС, тенге</w:t>
            </w:r>
          </w:p>
        </w:tc>
        <w:tc>
          <w:tcPr>
            <w:tcW w:w="3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05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Набор программ для ЭВМ «МойСклад»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atLeast"/>
        </w:trPr>
        <w:tc>
          <w:tcPr>
            <w:tcW w:w="1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Итого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exac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10462" w:type="dxa"/>
            <w:gridSpan w:val="9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 Вознаграждение Лицензиара составляет ______тенге (________ тенге).</w:t>
              <w:br/>
              <w:t>2. В том числе НДС 12%_______ тенге.</w:t>
              <w:br/>
              <w:t>3. Основание предоставления прав: партнерский договор № ___-____ от __.__.20__.</w:t>
              <w:br/>
              <w:t>4. Подтверждением расходов Лицензиата и правомерности использования им вышеуказанных программ для ЭВМ является настоящий Акт в совокупности с платежными документами о надлежащей оплате. Дополнительные документы для подтверждения данного факта не требуются и не составляются.</w:t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0" w:hRule="exact"/>
        </w:trPr>
        <w:tc>
          <w:tcPr>
            <w:tcW w:w="10462" w:type="dxa"/>
            <w:gridSpan w:val="9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75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3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От Лицензиара:</w:t>
            </w:r>
          </w:p>
        </w:tc>
        <w:tc>
          <w:tcPr>
            <w:tcW w:w="14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18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6"/>
              <w:gridCol w:w="36"/>
              <w:gridCol w:w="36"/>
              <w:gridCol w:w="36"/>
              <w:gridCol w:w="36"/>
            </w:tblGrid>
            <w:tr>
              <w:trPr>
                <w:trHeight w:val="75" w:hRule="atLeast"/>
              </w:trPr>
              <w:tc>
                <w:tcPr>
                  <w:tcW w:w="3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05" w:hRule="atLeast"/>
              </w:trPr>
              <w:tc>
                <w:tcPr>
                  <w:tcW w:w="3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05" w:hRule="atLeast"/>
              </w:trPr>
              <w:tc>
                <w:tcPr>
                  <w:tcW w:w="3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3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2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Генеральный директор</w:t>
            </w:r>
          </w:p>
        </w:tc>
        <w:tc>
          <w:tcPr>
            <w:tcW w:w="8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7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(Рахимбердиев А.М.)</w:t>
            </w:r>
          </w:p>
        </w:tc>
        <w:tc>
          <w:tcPr>
            <w:tcW w:w="361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92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18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6"/>
              <w:gridCol w:w="36"/>
              <w:gridCol w:w="36"/>
              <w:gridCol w:w="36"/>
              <w:gridCol w:w="36"/>
            </w:tblGrid>
            <w:tr>
              <w:trPr>
                <w:trHeight w:val="105" w:hRule="atLeast"/>
              </w:trPr>
              <w:tc>
                <w:tcPr>
                  <w:tcW w:w="3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695" w:hRule="atLeast"/>
              </w:trPr>
              <w:tc>
                <w:tcPr>
                  <w:tcW w:w="3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6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05" w:hRule="atLeast"/>
              </w:trPr>
              <w:tc>
                <w:tcPr>
                  <w:tcW w:w="3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restart"/>
                  <w:tcBorders/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3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3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60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708" w:right="707" w:gutter="0" w:header="0" w:top="28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0" w:hanging="855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17" w:hanging="5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1728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2232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273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32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374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43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7098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098e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gmt.moysklad.ru/" TargetMode="External"/><Relationship Id="rId3" Type="http://schemas.openxmlformats.org/officeDocument/2006/relationships/hyperlink" Target="https://moysklad.ru/" TargetMode="External"/><Relationship Id="rId4" Type="http://schemas.openxmlformats.org/officeDocument/2006/relationships/hyperlink" Target="https://partners.moysklad.ru/personal/learning/docs/" TargetMode="External"/><Relationship Id="rId5" Type="http://schemas.openxmlformats.org/officeDocument/2006/relationships/hyperlink" Target="https://www.moysklad.kz/subscription/" TargetMode="External"/><Relationship Id="rId6" Type="http://schemas.openxmlformats.org/officeDocument/2006/relationships/hyperlink" Target="https://partners.moysklad.ru/" TargetMode="External"/><Relationship Id="rId7" Type="http://schemas.openxmlformats.org/officeDocument/2006/relationships/hyperlink" Target="http://www.moysklad.ru/downloads/sla.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hMmowD0sBPIS8I69z1YwucGWtGQ==">AMUW2mXCOlrQG0p/QrSkfSZjDLs67oJL5E8r9d4pvjTJn16HF4OcEocevUUWrgT4ks+1o//DERDX2EEXtbHClk+fgaDHy1BTyoWGIlUVmmJZSPcD4Hgpe0RaawK18zdXVcU4V7U7uNdU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7</Pages>
  <Words>2300</Words>
  <Characters>16167</Characters>
  <CharactersWithSpaces>18397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2023-12-20T10:41:00Z</dcterms:created>
  <dc:creator/>
  <dc:description/>
  <dc:language>ru-RU</dc:language>
  <cp:lastModifiedBy/>
  <dcterms:modified xsi:type="dcterms:W3CDTF">2023-12-27T15:06:50Z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