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007efc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efc"/>
          <w:sz w:val="28"/>
          <w:szCs w:val="28"/>
          <w:u w:val="single"/>
          <w:rtl w:val="0"/>
        </w:rPr>
        <w:t xml:space="preserve">Página - Contato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40" w:line="268.8" w:lineRule="auto"/>
        <w:jc w:val="both"/>
        <w:rPr>
          <w:rFonts w:ascii="Calibri" w:cs="Calibri" w:eastAsia="Calibri" w:hAnsi="Calibri"/>
          <w:b w:val="1"/>
          <w:bCs w:val="1"/>
          <w:color w:val="111111"/>
          <w:sz w:val="32"/>
          <w:szCs w:val="32"/>
        </w:rPr>
      </w:pPr>
      <w:bookmarkStart w:colFirst="0" w:colLast="0" w:name="_t3o2gp8zk2q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Vamos conversar sobre a sua operação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Sua operação tem processos, prazos e desafios próprios. A equipe da A²O está pronta para ouvir você e apresentar uma solução adequada à sua realidade.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6299646-2766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(62) 3587-3147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Av. Segunda Avenida - Condomínio Cidade Empresarial Edifício Atlanta Bussines Center - Aparecida de Goiânia, GO, 74935-900.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Horário de atendimento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Figtree" w:cs="Figtree" w:eastAsia="Figtree" w:hAnsi="Figtree"/>
          <w:color w:val="555555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 a Sex · 08h às 18h</w:t>
      </w: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color w:val="555555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