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rFonts w:ascii="Montserrat" w:cs="Montserrat" w:eastAsia="Montserrat" w:hAnsi="Montserrat"/>
          <w:b/>
          <w:bCs/>
          <w:color w:val="094176"/>
          <w:spacing w:val="40"/>
          <w:sz w:val="24"/>
          <w:szCs w:val="24"/>
        </w:rPr>
        <w:t xml:space="preserve">VMV DIGITAL</w:t>
      </w:r>
    </w:p>
    <w:p>
      <w:pPr>
        <w:pBdr>
          <w:bottom w:val="single" w:color="BE8435" w:sz="16" w:space="10"/>
        </w:pBdr>
        <w:spacing w:after="400"/>
        <w:jc w:val="center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100"/>
        <w:jc w:val="center"/>
      </w:pPr>
      <w:r>
        <w:rPr>
          <w:rFonts w:ascii="Montserrat" w:cs="Montserrat" w:eastAsia="Montserrat" w:hAnsi="Montserrat"/>
          <w:b/>
          <w:bCs/>
          <w:color w:val="000000"/>
          <w:sz w:val="52"/>
          <w:szCs w:val="52"/>
        </w:rPr>
        <w:t xml:space="preserve">ROTEIROS DE VÍDEO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094176"/>
          <w:spacing w:val="8"/>
          <w:sz w:val="24"/>
          <w:szCs w:val="24"/>
        </w:rPr>
        <w:t xml:space="preserve">PARA ANÚNCIOS — CONTEÚDO 100% TÉCNICO</w:t>
      </w:r>
    </w:p>
    <w:p>
      <w:pPr>
        <w:spacing w:after="500"/>
        <w:jc w:val="center"/>
      </w:pPr>
      <w:r>
        <w:rPr>
          <w:rFonts w:ascii="Montserrat" w:cs="Montserrat" w:eastAsia="Montserrat" w:hAnsi="Montserrat"/>
          <w:i/>
          <w:iCs/>
          <w:color w:val="5A5A5A"/>
          <w:sz w:val="22"/>
          <w:szCs w:val="22"/>
        </w:rPr>
        <w:t xml:space="preserve">Curso de Dimensionamento de Lajes Treliçadas  ·  Eng. Fábio Kikuchi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BE8435"/>
          <w:spacing w:val="4"/>
          <w:sz w:val="18"/>
          <w:szCs w:val="18"/>
        </w:rPr>
        <w:t xml:space="preserve">Instruções de gravação — uso pessoal</w:t>
      </w:r>
    </w:p>
    <w:p>
      <w:r>
        <w:br w:type="page"/>
      </w:r>
    </w:p>
    <w:p>
      <w:pPr>
        <w:pBdr>
          <w:bottom w:val="single" w:color="BE8435" w:sz="12" w:space="6"/>
        </w:pBdr>
        <w:spacing w:after="200" w:before="48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26"/>
          <w:szCs w:val="26"/>
        </w:rPr>
        <w:t xml:space="preserve">ANTES DE GRAVAR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2F2F2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FÁBIO — </w:t>
            </w:r>
            <w:r>
              <w:rPr>
                <w:rFonts w:ascii="Montserrat" w:cs="Montserrat" w:eastAsia="Montserrat" w:hAnsi="Montserrat"/>
                <w:i/>
                <w:iCs/>
                <w:color w:val="1A1A1A"/>
                <w:sz w:val="19"/>
                <w:szCs w:val="19"/>
              </w:rPr>
              <w:t xml:space="preserve">este documento é pra você. Cada vídeo abaixo tem uma pergunta técnica pra abrir, os pontos que você deve explicar com suas próprias palavras — do jeito que você já fala no Instagram — e a frase de fechamento, que deve ser sempre a mesma, para a campanha ficar consistente.</w:t>
            </w:r>
          </w:p>
        </w:tc>
      </w:tr>
    </w:tbl>
    <w:p>
      <w:pPr>
        <w:spacing w:after="160" w:line="300"/>
      </w:pPr>
      <w:r>
        <w:rPr>
          <w:rFonts w:ascii="Montserrat" w:cs="Montserrat" w:eastAsia="Montserrat" w:hAnsi="Montserrat"/>
          <w:color w:val="1A1A1A"/>
          <w:sz w:val="21"/>
          <w:szCs w:val="21"/>
        </w:rPr>
        <w:t xml:space="preserve">O conteúdo de cada vídeo é técnico de verdade, retirado direto dos módulos do curso. Não é gancho de marketing — é a mesma lógica dos seus posts: uma pergunta específica, uma resposta direta, sem enrolação. O convite pro curso entra só no final, depois do conteúdo.</w:t>
      </w:r>
    </w:p>
    <w:p>
      <w:pPr>
        <w:spacing w:after="160" w:line="300"/>
      </w:pPr>
      <w:r>
        <w:rPr>
          <w:rFonts w:ascii="Montserrat" w:cs="Montserrat" w:eastAsia="Montserrat" w:hAnsi="Montserrat"/>
          <w:color w:val="1A1A1A"/>
          <w:sz w:val="21"/>
          <w:szCs w:val="21"/>
        </w:rPr>
        <w:t xml:space="preserve">Importante: os vídeos não mencionam Live nem Zoom. O curso é gravado, com acesso vitalício. A oferta de lançamento é 30% OFF pra quem já estiver no grupo do WhatsApp no dia 15/09 — é essa a informação que aparece nos cards, e é ela que vale.</w:t>
      </w:r>
    </w:p>
    <w:p>
      <w:pPr>
        <w:spacing w:after="16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300"/>
      </w:pPr>
      <w:r>
        <w:rPr>
          <w:rFonts w:ascii="Montserrat" w:cs="Montserrat" w:eastAsia="Montserrat" w:hAnsi="Montserrat"/>
        </w:rPr>
        <w:t xml:space="preserve"/>
      </w:r>
    </w:p>
    <w:p>
      <w:pPr>
        <w:pBdr>
          <w:bottom w:val="single" w:color="BE8435" w:sz="12" w:space="6"/>
        </w:pBdr>
        <w:spacing w:after="200" w:before="48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26"/>
          <w:szCs w:val="26"/>
        </w:rPr>
        <w:t xml:space="preserve">MAPA DE CONTEÚDO — OS 10 VÍDEOS</w:t>
      </w:r>
    </w:p>
    <w:tbl>
      <w:tblPr>
        <w:tblW w:type="dxa" w:w="1008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00"/>
        <w:gridCol w:w="3100"/>
        <w:gridCol w:w="6080"/>
      </w:tblGrid>
      <w:tr>
        <w:trPr>
          <w:tblHeader/>
        </w:trPr>
        <w:tc>
          <w:tcPr>
            <w:tcW w:type="dxa" w:w="900"/>
            <w:shd w:fill="09417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00"/>
            <w:shd w:fill="09417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Módulo · Item</w:t>
            </w:r>
          </w:p>
        </w:tc>
        <w:tc>
          <w:tcPr>
            <w:tcW w:type="dxa" w:w="6080"/>
            <w:shd w:fill="09417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Tópico técnico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01</w:t>
            </w:r>
          </w:p>
        </w:tc>
        <w:tc>
          <w:tcPr>
            <w:tcW w:type="dxa" w:w="31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01 · Eberick (item 06)</w:t>
            </w:r>
          </w:p>
        </w:tc>
        <w:tc>
          <w:tcPr>
            <w:tcW w:type="dxa" w:w="608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Abertura em laje treliçada — quando exige reforço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02</w:t>
            </w:r>
          </w:p>
        </w:tc>
        <w:tc>
          <w:tcPr>
            <w:tcW w:type="dxa" w:w="31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02 · Eberick (item 03)</w:t>
            </w:r>
          </w:p>
        </w:tc>
        <w:tc>
          <w:tcPr>
            <w:tcW w:type="dxa" w:w="60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Vigota dupla — quando ela resolve o que a simples não resolve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03</w:t>
            </w:r>
          </w:p>
        </w:tc>
        <w:tc>
          <w:tcPr>
            <w:tcW w:type="dxa" w:w="31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03 · Eberick (item 04)</w:t>
            </w:r>
          </w:p>
        </w:tc>
        <w:tc>
          <w:tcPr>
            <w:tcW w:type="dxa" w:w="608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Flecha estourou no Eberick — aumentar a seção é sempre a solução?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04</w:t>
            </w:r>
          </w:p>
        </w:tc>
        <w:tc>
          <w:tcPr>
            <w:tcW w:type="dxa" w:w="31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04 · Concreto Armado (item 10)</w:t>
            </w:r>
          </w:p>
        </w:tc>
        <w:tc>
          <w:tcPr>
            <w:tcW w:type="dxa" w:w="60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Armadura negativa em laje treliçada contínua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05</w:t>
            </w:r>
          </w:p>
        </w:tc>
        <w:tc>
          <w:tcPr>
            <w:tcW w:type="dxa" w:w="31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05 · Concreto Armado (item 12)</w:t>
            </w:r>
          </w:p>
        </w:tc>
        <w:tc>
          <w:tcPr>
            <w:tcW w:type="dxa" w:w="608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Verificação de flecha — por que o mesmo vão às vezes falha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06</w:t>
            </w:r>
          </w:p>
        </w:tc>
        <w:tc>
          <w:tcPr>
            <w:tcW w:type="dxa" w:w="31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06 · Vigota Protendida (item 18)</w:t>
            </w:r>
          </w:p>
        </w:tc>
        <w:tc>
          <w:tcPr>
            <w:tcW w:type="dxa" w:w="60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ELU-ATO — o risco no exato momento da protensão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07</w:t>
            </w:r>
          </w:p>
        </w:tc>
        <w:tc>
          <w:tcPr>
            <w:tcW w:type="dxa" w:w="31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07 · Vigota Protendida (item 14)</w:t>
            </w:r>
          </w:p>
        </w:tc>
        <w:tc>
          <w:tcPr>
            <w:tcW w:type="dxa" w:w="608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ELS-D e ELS-F — por que são verificações diferentes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08</w:t>
            </w:r>
          </w:p>
        </w:tc>
        <w:tc>
          <w:tcPr>
            <w:tcW w:type="dxa" w:w="31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08 · Vigota Protendida (item 15)</w:t>
            </w:r>
          </w:p>
        </w:tc>
        <w:tc>
          <w:tcPr>
            <w:tcW w:type="dxa" w:w="60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Seção composta e homogeneização — o erro que muda tudo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09</w:t>
            </w:r>
          </w:p>
        </w:tc>
        <w:tc>
          <w:tcPr>
            <w:tcW w:type="dxa" w:w="31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09 · Eberick (item 07)</w:t>
            </w:r>
          </w:p>
        </w:tc>
        <w:tc>
          <w:tcPr>
            <w:tcW w:type="dxa" w:w="608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Cálculo de estribo em laje treliçada — onde a maioria erra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9"/>
                <w:szCs w:val="19"/>
              </w:rPr>
              <w:t xml:space="preserve">10</w:t>
            </w:r>
          </w:p>
        </w:tc>
        <w:tc>
          <w:tcPr>
            <w:tcW w:type="dxa" w:w="310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Fechamento</w:t>
            </w:r>
          </w:p>
        </w:tc>
        <w:tc>
          <w:tcPr>
            <w:tcW w:type="dxa" w:w="60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color w:val="1A1A1A"/>
                <w:sz w:val="19"/>
                <w:szCs w:val="19"/>
              </w:rPr>
              <w:t xml:space="preserve">Panorama dos 3 módulos + bônus — peça mais produzida</w:t>
            </w:r>
          </w:p>
        </w:tc>
      </w:tr>
    </w:tbl>
    <w:p>
      <w:r>
        <w:br w:type="page"/>
      </w:r>
    </w:p>
    <w:p>
      <w:pPr>
        <w:pBdr>
          <w:bottom w:val="single" w:color="BE8435" w:sz="12" w:space="6"/>
        </w:pBdr>
        <w:spacing w:after="200" w:before="48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26"/>
          <w:szCs w:val="26"/>
        </w:rPr>
        <w:t xml:space="preserve">ROTEIROS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01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01 · Eberick — item 06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Eberick aberto na tela, laje com abertura lançada.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“Toda abertura em laje treliçada enfraquece a estrutura?”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Nem toda abertura exige reforço — depende do tamanho, da posição em relação às vigotas e do vão.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Mostre a diferença entre uma abertura que corta uma vigota e uma que passa entre elas.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Explique quando entra vigota adicional ou capa armada como reforço.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Lançar a abertura no Eberick e confiar que “o software vai avisar” se precisar de reforço.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02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01 · Eberick — item 03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Eberick ou quadro, comparando vigota simples x dupla.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“Por que às vezes uma vigota simples não resolve — e vigota dupla resolve?”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Vigota dupla aumenta a capacidade resistente sem aumentar a altura da laje.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Situações em que ela é necessária: vão maior, carga concentrada, limitação de flecha.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No Eberick não é só “duplicar” — existe critério de composição que precisa ser respeitado.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Usar vigota dupla como solução genérica sem verificar se o problema é de capacidade ou de flecha.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03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01 · Eberick — item 04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Tela do Eberick mostrando um alerta de flecha.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“A flecha estourou no Eberick. Aumentar a seção é sempre a solução?”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Às vezes o problema não é capacidade — é a condição de apoio ou o carregamento mal representado no modelo.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Alternativas antes de aumentar a seção: revisar apoio, considerar contraflecha, revisar a inércia considerada.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Mostre rapidamente essas opções dentro do Eberick.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Aumentar a seção no primeiro sinal de flecha alta sem investigar a causa real.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04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02 · Concreto Armado — item 10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Quadro branco ou tela, esquema de laje contínua.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“Toda laje treliçada contínua precisa de armadura negativa sobre o apoio?”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Depende do momento negativo gerado pela continuidade — não é automático.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Explique rapidamente como esse momento é calculado manualmente e quando ele justifica armadura negativa.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Copiar a armadura negativa de outro projeto parecido sem recalcular para o vão e carregamento específicos.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05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02 · Concreto Armado — item 12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Quadro ou tela, dois casos de laje lado a lado.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“Mesmo vão, mesma carga — por que uma laje passa na verificação de flecha e outra não?”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A condição de apoio real (engastada, apoiada, contínua) muda completamente o resultado.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O efeito de considerar ou não a fissuração na inércia usada no cálculo da flecha.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Ligação direta com os limites de flecha da NBR 6118 por tipo de uso.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Usar a mesma inércia bruta em todos os casos sem considerar a fissuração da seção.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06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03 · Vigota Protendida — item 18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Fábio no computador ou quadro, esquema de vigota no ato da protensão.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que pode dar errado no exato momento em que você protende a vigota?”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ELU-ATO verifica a seção logo na transferência de protensão — antes das perdas totais, antes da carga de serviço.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O risco: tração excessiva na fibra oposta ou compressão excessiva na fibra protendida logo nesse instante.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Por que pular essa verificação é grave mesmo que a peça pareça segura depois, em serviço.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Verificar só o estado final em serviço e ignorar o que acontece no ato da protensão.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07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03 · Vigota Protendida — item 14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Quadro branco, escrevendo ELS-D e ELS-F lado a lado.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“ELS-D e ELS-F verificam a mesma coisa? Não.”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ELS-D (descompressão) e ELS-F (formação de fissuras) são estados-limite diferentes, com critérios diferentes.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Explique rapidamente, com suas palavras, a diferença prática entre eles.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Por que a NBR 6118 exige os dois — e não só um.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Verificar apenas um dos dois e assumir que o outro “está implícito” no resultado.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08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03 · Vigota Protendida — item 15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Quadro ou tela, seção composta vigota + capa.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“Homogeneizar a seção errado muda o resultado inteiro do seu cálculo.”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Vigota protendida + capa moldada no local formam uma seção composta, com dois concretos de idades e módulos diferentes.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Explique rapidamente o conceito de homogeneização e por que a fase de aplicação do carregamento importa.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Tratar a seção como monolítica desde o início, ignorando as duas fases de concretagem.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09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Módulo 01 · Eberick — item 07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Tela do Eberick, detalhe de estribo em laje treliçada.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COM ESSA PERGUNTA,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“Onde a maioria erra no cálculo de estribo em laje treliçada?”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É comum aplicar a mesma lógica de estribo de viga sem adaptar para a geometria da treliça.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O que muda de verdade: espaçamento, diâmetro mínimo, ancoragem na própria treliça metálica.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Quando o cálculo automático do Eberick precisa de conferência manual.</w:t>
      </w:r>
    </w:p>
    <w:p>
      <w:pPr>
        <w:spacing w:after="8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F2E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z w:val="17"/>
                <w:szCs w:val="17"/>
              </w:rPr>
              <w:t xml:space="preserve">ERRO COMUM QUE VALE MENCIONAR   </w:t>
            </w:r>
            <w:r>
              <w:rPr>
                <w:rFonts w:ascii="Montserrat" w:cs="Montserrat" w:eastAsia="Montserrat" w:hAnsi="Montserrat"/>
                <w:color w:val="1A1A1A"/>
                <w:sz w:val="19"/>
                <w:szCs w:val="19"/>
              </w:rPr>
              <w:t xml:space="preserve">Aceitar o estribo sugerido pelo software sem conferir a ancoragem na treliça.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SEMPRE ASSIM: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de lajes treliçadas está no link do grupo do WhatsApp, na minha bio. Lançamento dia 15 de setembro — quem já estiver no grupo garante 30% OFF.”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0000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2"/>
                <w:szCs w:val="22"/>
              </w:rPr>
              <w:t xml:space="preserve">VÍDEO 10  </w:t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— Fechamento da campanha (peça mais produzida)</w:t>
            </w:r>
          </w:p>
        </w:tc>
      </w:tr>
    </w:tbl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40"/>
      </w:pPr>
      <w:r>
        <w:rPr>
          <w:rFonts w:ascii="Montserrat" w:cs="Montserrat" w:eastAsia="Montserrat" w:hAnsi="Montserrat"/>
          <w:b/>
          <w:bCs/>
          <w:color w:val="094176"/>
          <w:sz w:val="18"/>
          <w:szCs w:val="18"/>
        </w:rPr>
        <w:t xml:space="preserve">Cenário  </w:t>
      </w:r>
      <w:r>
        <w:rPr>
          <w:rFonts w:ascii="Montserrat" w:cs="Montserrat" w:eastAsia="Montserrat" w:hAnsi="Montserrat"/>
          <w:color w:val="5A5A5A"/>
          <w:sz w:val="18"/>
          <w:szCs w:val="18"/>
        </w:rPr>
        <w:t xml:space="preserve">Escritório, projeto aberto no computador, normas/livros ao fundo. Comece em close, abra para plano médio.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ABRA ASSIM,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“Se você trabalha com laje treliçada, esse vídeo é pra você.”</w:t>
      </w:r>
    </w:p>
    <w:p>
      <w:pPr>
        <w:spacing w:after="6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DEPOIS, EXPLIQUE COM SUAS PALAVRAS: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O curso tem 3 módulos: concepção e análise no Eberick, cálculo manual em concreto armado, e cálculo manual em vigota protendida.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É conteúdo 100% técnico, do dimensionamento ao detalhamento — sem enrolação.</w:t>
      </w:r>
    </w:p>
    <w:p>
      <w:pPr>
        <w:spacing w:after="70" w:line="280"/>
        <w:ind w:left="260"/>
      </w:pPr>
      <w:r>
        <w:rPr>
          <w:rFonts w:ascii="Montserrat" w:cs="Montserrat" w:eastAsia="Montserrat" w:hAnsi="Montserrat"/>
          <w:b/>
          <w:bCs/>
          <w:color w:val="BE8435"/>
          <w:sz w:val="19"/>
          <w:szCs w:val="19"/>
        </w:rPr>
        <w:t xml:space="preserve">—  </w:t>
      </w:r>
      <w:r>
        <w:rPr>
          <w:rFonts w:ascii="Montserrat" w:cs="Montserrat" w:eastAsia="Montserrat" w:hAnsi="Montserrat"/>
          <w:color w:val="1A1A1A"/>
          <w:sz w:val="19"/>
          <w:szCs w:val="19"/>
        </w:rPr>
        <w:t xml:space="preserve">Quem se matricula leva 3 meses de licença do Eberick Infinity, as calculadoras prontas que você usa nos seus próprios projetos, e entra no grupo exclusivo da turma no WhatsApp.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p>
      <w:pPr>
        <w:spacing w:after="90" w:before="16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17"/>
          <w:szCs w:val="17"/>
        </w:rPr>
        <w:t xml:space="preserve">FECHE ASSIM, NA ÍNTEGRA:</w:t>
      </w:r>
    </w:p>
    <w:p>
      <w:pPr>
        <w:pBdr>
          <w:left w:val="single" w:color="BE8435" w:sz="20" w:space="8"/>
        </w:pBdr>
        <w:spacing w:after="90" w:line="300"/>
        <w:ind w:left="260"/>
      </w:pPr>
      <w:r>
        <w:rPr>
          <w:rFonts w:ascii="Montserrat" w:cs="Montserrat" w:eastAsia="Montserrat" w:hAnsi="Montserrat"/>
          <w:b/>
          <w:bCs/>
          <w:i/>
          <w:iCs/>
          <w:color w:val="1A1A1A"/>
          <w:sz w:val="22"/>
          <w:szCs w:val="22"/>
        </w:rPr>
        <w:t xml:space="preserve">“O curso completo está no link do grupo do WhatsApp, na minha bio. Lançamento dia 15 de setembro, com 30% OFF pra quem já estiver no grupo. Te espero lá.”</w:t>
      </w:r>
    </w:p>
    <w:p>
      <w:pPr>
        <w:spacing w:after="1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9417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pacing w:val="8"/>
                <w:sz w:val="20"/>
                <w:szCs w:val="20"/>
              </w:rPr>
              <w:t xml:space="preserve">CURSO ONLINE · LANÇAMENTO 15/09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FFFFFF"/>
                <w:sz w:val="17"/>
                <w:szCs w:val="17"/>
              </w:rPr>
              <w:t xml:space="preserve">Link do grupo do WhatsApp na bio  ·  30% OFF pra quem já estiver no grupo</w:t>
            </w:r>
          </w:p>
        </w:tc>
      </w:tr>
    </w:tbl>
    <w:p>
      <w:pPr>
        <w:spacing w:after="42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p>
      <w:pPr>
        <w:pBdr>
          <w:bottom w:val="single" w:color="BE8435" w:sz="12" w:space="6"/>
        </w:pBdr>
        <w:spacing w:after="200" w:before="48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26"/>
          <w:szCs w:val="26"/>
        </w:rPr>
        <w:t xml:space="preserve">VARIAÇÃO VISUAL ENTRE OS VÍDEOS</w:t>
      </w:r>
    </w:p>
    <w:p>
      <w:pPr>
        <w:spacing w:after="160" w:line="300"/>
      </w:pPr>
      <w:r>
        <w:rPr>
          <w:rFonts w:ascii="Montserrat" w:cs="Montserrat" w:eastAsia="Montserrat" w:hAnsi="Montserrat"/>
          <w:color w:val="1A1A1A"/>
          <w:sz w:val="21"/>
          <w:szCs w:val="21"/>
        </w:rPr>
        <w:t xml:space="preserve">Pra evitar que os 10 vídeos pareçam repetições do mesmo criativo, alterna entre esses quatro formatos de gravação.</w:t>
      </w:r>
    </w:p>
    <w:p>
      <w:pPr>
        <w:spacing w:after="14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00"/>
        <w:gridCol w:w="9180"/>
      </w:tblGrid>
      <w:tr>
        <w:tc>
          <w:tcPr>
            <w:tcW w:type="dxa" w:w="900"/>
            <w:shd w:fill="094176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6"/>
                <w:szCs w:val="16"/>
              </w:rPr>
              <w:t xml:space="preserve">BLOCO</w:t>
            </w:r>
          </w:p>
          <w:p>
            <w:pPr>
              <w:spacing w:before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4"/>
                <w:szCs w:val="44"/>
              </w:rPr>
              <w:t xml:space="preserve">A</w:t>
            </w:r>
          </w:p>
        </w:tc>
        <w:tc>
          <w:tcPr>
            <w:tcW w:type="dxa" w:w="9180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094176"/>
                <w:sz w:val="22"/>
                <w:szCs w:val="22"/>
              </w:rPr>
              <w:t xml:space="preserve">AUTORIDADE</w:t>
            </w:r>
            <w:r>
              <w:rPr>
                <w:rFonts w:ascii="Montserrat" w:cs="Montserrat" w:eastAsia="Montserrat" w:hAnsi="Montserrat"/>
                <w:color w:val="5A5A5A"/>
                <w:sz w:val="17"/>
                <w:szCs w:val="17"/>
              </w:rPr>
              <w:t xml:space="preserve">   Vídeos 01, 03 e 09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Escritório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Camisa social ou polo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Câmera fixa, plano médio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Você olhando direto pra lente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Poucos cortes</w:t>
            </w:r>
          </w:p>
          <w:p>
            <w:pPr>
              <w:spacing w:before="80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8"/>
                <w:szCs w:val="18"/>
              </w:rPr>
              <w:t xml:space="preserve">Objetivo: </w:t>
            </w:r>
            <w:r>
              <w:rPr>
                <w:rFonts w:ascii="Montserrat" w:cs="Montserrat" w:eastAsia="Montserrat" w:hAnsi="Montserrat"/>
                <w:i/>
                <w:iCs/>
                <w:color w:val="1A1A1A"/>
                <w:sz w:val="18"/>
                <w:szCs w:val="18"/>
              </w:rPr>
              <w:t xml:space="preserve">Comunicar domínio técnico direto.</w:t>
            </w:r>
          </w:p>
        </w:tc>
      </w:tr>
    </w:tbl>
    <w:p>
      <w:pPr>
        <w:spacing w:after="2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00"/>
        <w:gridCol w:w="9180"/>
      </w:tblGrid>
      <w:tr>
        <w:tc>
          <w:tcPr>
            <w:tcW w:type="dxa" w:w="900"/>
            <w:shd w:fill="094176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6"/>
                <w:szCs w:val="16"/>
              </w:rPr>
              <w:t xml:space="preserve">BLOCO</w:t>
            </w:r>
          </w:p>
          <w:p>
            <w:pPr>
              <w:spacing w:before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4"/>
                <w:szCs w:val="44"/>
              </w:rPr>
              <w:t xml:space="preserve">B</w:t>
            </w:r>
          </w:p>
        </w:tc>
        <w:tc>
          <w:tcPr>
            <w:tcW w:type="dxa" w:w="9180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094176"/>
                <w:sz w:val="22"/>
                <w:szCs w:val="22"/>
              </w:rPr>
              <w:t xml:space="preserve">CONTEÚDO NO EBERICK</w:t>
            </w:r>
            <w:r>
              <w:rPr>
                <w:rFonts w:ascii="Montserrat" w:cs="Montserrat" w:eastAsia="Montserrat" w:hAnsi="Montserrat"/>
                <w:color w:val="5A5A5A"/>
                <w:sz w:val="17"/>
                <w:szCs w:val="17"/>
              </w:rPr>
              <w:t xml:space="preserve">   Vídeos 01, 02, 03 e 09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Tela do Eberick aberta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Captura de tela do software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Você apontando o que aparece no resultado</w:t>
            </w:r>
          </w:p>
          <w:p>
            <w:pPr>
              <w:spacing w:before="80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8"/>
                <w:szCs w:val="18"/>
              </w:rPr>
              <w:t xml:space="preserve">Objetivo: </w:t>
            </w:r>
            <w:r>
              <w:rPr>
                <w:rFonts w:ascii="Montserrat" w:cs="Montserrat" w:eastAsia="Montserrat" w:hAnsi="Montserrat"/>
                <w:i/>
                <w:iCs/>
                <w:color w:val="1A1A1A"/>
                <w:sz w:val="18"/>
                <w:szCs w:val="18"/>
              </w:rPr>
              <w:t xml:space="preserve">Mostrar o software sendo usado de verdade, não só falado.</w:t>
            </w:r>
          </w:p>
        </w:tc>
      </w:tr>
    </w:tbl>
    <w:p>
      <w:pPr>
        <w:spacing w:after="2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00"/>
        <w:gridCol w:w="9180"/>
      </w:tblGrid>
      <w:tr>
        <w:tc>
          <w:tcPr>
            <w:tcW w:type="dxa" w:w="900"/>
            <w:shd w:fill="094176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6"/>
                <w:szCs w:val="16"/>
              </w:rPr>
              <w:t xml:space="preserve">BLOCO</w:t>
            </w:r>
          </w:p>
          <w:p>
            <w:pPr>
              <w:spacing w:before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4"/>
                <w:szCs w:val="44"/>
              </w:rPr>
              <w:t xml:space="preserve">C</w:t>
            </w:r>
          </w:p>
        </w:tc>
        <w:tc>
          <w:tcPr>
            <w:tcW w:type="dxa" w:w="9180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094176"/>
                <w:sz w:val="22"/>
                <w:szCs w:val="22"/>
              </w:rPr>
              <w:t xml:space="preserve">QUADRO BRANCO</w:t>
            </w:r>
            <w:r>
              <w:rPr>
                <w:rFonts w:ascii="Montserrat" w:cs="Montserrat" w:eastAsia="Montserrat" w:hAnsi="Montserrat"/>
                <w:color w:val="5A5A5A"/>
                <w:sz w:val="17"/>
                <w:szCs w:val="17"/>
              </w:rPr>
              <w:t xml:space="preserve">   Vídeos 04, 05, 06, 07 e 08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Quadro branco ou tela com esquema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Você escrevendo o termo técnico antes de explicar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Câmera acompanhando a escrita</w:t>
            </w:r>
          </w:p>
          <w:p>
            <w:pPr>
              <w:spacing w:before="80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8"/>
                <w:szCs w:val="18"/>
              </w:rPr>
              <w:t xml:space="preserve">Objetivo: </w:t>
            </w:r>
            <w:r>
              <w:rPr>
                <w:rFonts w:ascii="Montserrat" w:cs="Montserrat" w:eastAsia="Montserrat" w:hAnsi="Montserrat"/>
                <w:i/>
                <w:iCs/>
                <w:color w:val="1A1A1A"/>
                <w:sz w:val="18"/>
                <w:szCs w:val="18"/>
              </w:rPr>
              <w:t xml:space="preserve">Deixar visível o raciocínio, não só a conclusão.</w:t>
            </w:r>
          </w:p>
        </w:tc>
      </w:tr>
    </w:tbl>
    <w:p>
      <w:pPr>
        <w:spacing w:after="200"/>
      </w:pPr>
      <w:r>
        <w:rPr>
          <w:rFonts w:ascii="Montserrat" w:cs="Montserrat" w:eastAsia="Montserrat" w:hAnsi="Montserrat"/>
        </w:rPr>
        <w:t xml:space="preserve"/>
      </w:r>
    </w:p>
    <w:tbl>
      <w:tblPr>
        <w:tblW w:type="dxa" w:w="1008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00"/>
        <w:gridCol w:w="9180"/>
      </w:tblGrid>
      <w:tr>
        <w:tc>
          <w:tcPr>
            <w:tcW w:type="dxa" w:w="900"/>
            <w:shd w:fill="094176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6"/>
                <w:szCs w:val="16"/>
              </w:rPr>
              <w:t xml:space="preserve">BLOCO</w:t>
            </w:r>
          </w:p>
          <w:p>
            <w:pPr>
              <w:spacing w:before="40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4"/>
                <w:szCs w:val="44"/>
              </w:rPr>
              <w:t xml:space="preserve">D</w:t>
            </w:r>
          </w:p>
        </w:tc>
        <w:tc>
          <w:tcPr>
            <w:tcW w:type="dxa" w:w="9180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094176"/>
                <w:sz w:val="22"/>
                <w:szCs w:val="22"/>
              </w:rPr>
              <w:t xml:space="preserve">FECHAMENTO</w:t>
            </w:r>
            <w:r>
              <w:rPr>
                <w:rFonts w:ascii="Montserrat" w:cs="Montserrat" w:eastAsia="Montserrat" w:hAnsi="Montserrat"/>
                <w:color w:val="5A5A5A"/>
                <w:sz w:val="17"/>
                <w:szCs w:val="17"/>
              </w:rPr>
              <w:t xml:space="preserve">   Vídeo 10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Escritório mais elaborado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Projeto real no computador</w:t>
            </w:r>
          </w:p>
          <w:p>
            <w:pPr>
              <w:spacing w:after="30"/>
            </w:pPr>
            <w:r>
              <w:rPr>
                <w:rFonts w:ascii="Montserrat" w:cs="Montserrat" w:eastAsia="Montserrat" w:hAnsi="Montserrat"/>
                <w:color w:val="1A1A1A"/>
                <w:sz w:val="18"/>
                <w:szCs w:val="18"/>
              </w:rPr>
              <w:t xml:space="preserve">—  Movimento de câmera discreto (close → plano médio)</w:t>
            </w:r>
          </w:p>
          <w:p>
            <w:pPr>
              <w:spacing w:before="80"/>
            </w:pPr>
            <w:r>
              <w:rPr>
                <w:rFonts w:ascii="Montserrat" w:cs="Montserrat" w:eastAsia="Montserrat" w:hAnsi="Montserrat"/>
                <w:b/>
                <w:bCs/>
                <w:color w:val="BE8435"/>
                <w:sz w:val="18"/>
                <w:szCs w:val="18"/>
              </w:rPr>
              <w:t xml:space="preserve">Objetivo: </w:t>
            </w:r>
            <w:r>
              <w:rPr>
                <w:rFonts w:ascii="Montserrat" w:cs="Montserrat" w:eastAsia="Montserrat" w:hAnsi="Montserrat"/>
                <w:i/>
                <w:iCs/>
                <w:color w:val="1A1A1A"/>
                <w:sz w:val="18"/>
                <w:szCs w:val="18"/>
              </w:rPr>
              <w:t xml:space="preserve">Peça de maior produção, fecha a campanha.</w:t>
            </w:r>
          </w:p>
        </w:tc>
      </w:tr>
    </w:tbl>
    <w:p>
      <w:pPr>
        <w:spacing w:after="200"/>
      </w:pPr>
      <w:r>
        <w:rPr>
          <w:rFonts w:ascii="Montserrat" w:cs="Montserrat" w:eastAsia="Montserrat" w:hAnsi="Montserrat"/>
        </w:rPr>
        <w:t xml:space="preserve"/>
      </w:r>
    </w:p>
    <w:p>
      <w:r>
        <w:br w:type="page"/>
      </w:r>
    </w:p>
    <w:p>
      <w:pPr>
        <w:pBdr>
          <w:bottom w:val="single" w:color="BE8435" w:sz="12" w:space="6"/>
        </w:pBdr>
        <w:spacing w:after="200" w:before="480"/>
      </w:pPr>
      <w:r>
        <w:rPr>
          <w:rFonts w:ascii="Montserrat" w:cs="Montserrat" w:eastAsia="Montserrat" w:hAnsi="Montserrat"/>
          <w:b/>
          <w:bCs/>
          <w:color w:val="094176"/>
          <w:spacing w:val="10"/>
          <w:sz w:val="26"/>
          <w:szCs w:val="26"/>
        </w:rPr>
        <w:t xml:space="preserve">REGRA DE OURO</w:t>
      </w:r>
    </w:p>
    <w:p>
      <w:pPr>
        <w:spacing w:after="160" w:line="300"/>
      </w:pPr>
      <w:r>
        <w:rPr>
          <w:rFonts w:ascii="Montserrat" w:cs="Montserrat" w:eastAsia="Montserrat" w:hAnsi="Montserrat"/>
          <w:color w:val="1A1A1A"/>
          <w:sz w:val="21"/>
          <w:szCs w:val="21"/>
        </w:rPr>
        <w:t xml:space="preserve">Você não interpreta um personagem de vendedor. Evite:</w:t>
      </w:r>
    </w:p>
    <w:p>
      <w:pPr>
        <w:spacing w:after="60"/>
        <w:ind w:left="260"/>
      </w:pPr>
      <w:r>
        <w:rPr>
          <w:rFonts w:ascii="Montserrat" w:cs="Montserrat" w:eastAsia="Montserrat" w:hAnsi="Montserrat"/>
          <w:i/>
          <w:iCs/>
          <w:color w:val="5A5A5A"/>
          <w:sz w:val="20"/>
          <w:szCs w:val="20"/>
        </w:rPr>
        <w:t xml:space="preserve">“Você não pode perder essa oportunidade!”</w:t>
      </w:r>
    </w:p>
    <w:p>
      <w:pPr>
        <w:spacing w:after="60"/>
        <w:ind w:left="260"/>
      </w:pPr>
      <w:r>
        <w:rPr>
          <w:rFonts w:ascii="Montserrat" w:cs="Montserrat" w:eastAsia="Montserrat" w:hAnsi="Montserrat"/>
          <w:i/>
          <w:iCs/>
          <w:color w:val="5A5A5A"/>
          <w:sz w:val="20"/>
          <w:szCs w:val="20"/>
        </w:rPr>
        <w:t xml:space="preserve">“Corre porque as vagas estão acabando!”</w:t>
      </w:r>
    </w:p>
    <w:p>
      <w:pPr>
        <w:spacing w:after="200"/>
        <w:ind w:left="260"/>
      </w:pPr>
      <w:r>
        <w:rPr>
          <w:rFonts w:ascii="Montserrat" w:cs="Montserrat" w:eastAsia="Montserrat" w:hAnsi="Montserrat"/>
          <w:i/>
          <w:iCs/>
          <w:color w:val="5A5A5A"/>
          <w:sz w:val="20"/>
          <w:szCs w:val="20"/>
        </w:rPr>
        <w:t xml:space="preserve">“Você está cometendo um erro gravíssimo!”</w:t>
      </w:r>
    </w:p>
    <w:p>
      <w:pPr>
        <w:spacing w:after="160" w:line="300"/>
      </w:pPr>
      <w:r>
        <w:rPr>
          <w:rFonts w:ascii="Montserrat" w:cs="Montserrat" w:eastAsia="Montserrat" w:hAnsi="Montserrat"/>
          <w:color w:val="1A1A1A"/>
          <w:sz w:val="21"/>
          <w:szCs w:val="21"/>
        </w:rPr>
        <w:t xml:space="preserve">Sua força está no oposto: calma + domínio técnico + clareza. O vídeo precisa deixar a sensação de “esse cara sabe do que está falando”.</w:t>
      </w:r>
    </w:p>
    <w:p>
      <w:pPr>
        <w:spacing w:after="160" w:line="30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Por isso o convite pro curso só aparece no final de cada vídeo — depois do conteúdo técnico, nunca antes.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5A5A5A"/>
        <w:sz w:val="14"/>
        <w:szCs w:val="14"/>
      </w:rPr>
      <w:t xml:space="preserve">Confidencial — uso pessoal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none" w:color="FFFFFF" w:sz="0"/>
        <w:left w:val="none" w:color="FFFFFF" w:sz="0"/>
        <w:bottom w:val="single" w:color="BE8435" w:sz="4"/>
        <w:right w:val="none" w:color="FFFFFF" w:sz="0"/>
        <w:insideH w:val="none" w:color="FFFFFF" w:sz="0"/>
        <w:insideV w:val="none" w:color="FFFFFF" w:sz="0"/>
      </w:tblBorders>
    </w:tblPr>
    <w:tblGrid>
      <w:gridCol w:w="5040"/>
      <w:gridCol w:w="5040"/>
    </w:tblGrid>
    <w:tr>
      <w:tc>
        <w:tcPr>
          <w:tcW w:type="dxa" w:w="5040"/>
          <w:tcMar>
            <w:bottom w:type="dxa" w:w="80"/>
          </w:tcMar>
        </w:tcPr>
        <w:p>
          <w:r>
            <w:rPr>
              <w:rFonts w:ascii="Montserrat" w:cs="Montserrat" w:eastAsia="Montserrat" w:hAnsi="Montserrat"/>
              <w:b/>
              <w:bCs/>
              <w:color w:val="094176"/>
              <w:spacing w:val="6"/>
              <w:sz w:val="14"/>
              <w:szCs w:val="14"/>
            </w:rPr>
            <w:t xml:space="preserve">VMV DIGITAL</w:t>
          </w:r>
        </w:p>
      </w:tc>
      <w:tc>
        <w:tcPr>
          <w:tcW w:type="dxa" w:w="5040"/>
          <w:tcMar>
            <w:bottom w:type="dxa" w:w="80"/>
          </w:tcMar>
        </w:tcPr>
        <w:p>
          <w:pPr>
            <w:jc w:val="right"/>
          </w:pPr>
          <w:r>
            <w:rPr>
              <w:rFonts w:ascii="Montserrat" w:cs="Montserrat" w:eastAsia="Montserrat" w:hAnsi="Montserrat"/>
              <w:color w:val="5A5A5A"/>
              <w:sz w:val="14"/>
              <w:szCs w:val="14"/>
            </w:rPr>
            <w:t xml:space="preserve">Eng. Fábio Kikuchi · Roteiros para Anúncios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2026-09-09T17:59:33.798Z</dcterms:created>
  <dcterms:modified xsi:type="dcterms:W3CDTF">2026-09-09T17:59:33.817Z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