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E1327" w:rsidRDefault="00B221D9" w14:paraId="70C6BABF" w14:textId="017AB867">
      <w:r>
        <w:rPr>
          <w:noProof/>
          <w:lang w:eastAsia="es-CL"/>
        </w:rPr>
        <w:drawing>
          <wp:anchor distT="0" distB="0" distL="114300" distR="114300" simplePos="0" relativeHeight="251665408" behindDoc="1" locked="0" layoutInCell="1" allowOverlap="1" wp14:anchorId="636C0BB8" wp14:editId="31E4ECB9">
            <wp:simplePos x="0" y="0"/>
            <wp:positionH relativeFrom="page">
              <wp:posOffset>-44450</wp:posOffset>
            </wp:positionH>
            <wp:positionV relativeFrom="paragraph">
              <wp:posOffset>-2469515</wp:posOffset>
            </wp:positionV>
            <wp:extent cx="7786968" cy="10075542"/>
            <wp:effectExtent l="0" t="0" r="508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7786968" cy="10075542"/>
                    </a:xfrm>
                    <a:prstGeom prst="rect">
                      <a:avLst/>
                    </a:prstGeom>
                  </pic:spPr>
                </pic:pic>
              </a:graphicData>
            </a:graphic>
          </wp:anchor>
        </w:drawing>
      </w:r>
    </w:p>
    <w:p w:rsidR="00735212" w:rsidRDefault="00735212" w14:paraId="12F71B90" w14:textId="722E9E45"/>
    <w:p w:rsidR="00735212" w:rsidRDefault="00735212" w14:paraId="2CE925A0" w14:textId="2BDD1ED1">
      <w:bookmarkStart w:name="_Hlk56073969" w:id="0"/>
      <w:bookmarkEnd w:id="0"/>
    </w:p>
    <w:p w:rsidR="00735212" w:rsidRDefault="00735212" w14:paraId="07553B74" w14:textId="77777777"/>
    <w:p w:rsidR="00735212" w:rsidRDefault="00735212" w14:paraId="6BD679D3" w14:textId="77777777"/>
    <w:p w:rsidR="00735212" w:rsidRDefault="00735212" w14:paraId="1E0C85B2" w14:textId="77777777"/>
    <w:p w:rsidR="00735212" w:rsidP="00B221D9" w:rsidRDefault="00735212" w14:paraId="6171C2D2" w14:textId="1D20CEDB">
      <w:pPr>
        <w:tabs>
          <w:tab w:val="center" w:pos="1113"/>
        </w:tabs>
      </w:pPr>
      <w:r>
        <w:rPr>
          <w:noProof/>
        </w:rPr>
        <mc:AlternateContent>
          <mc:Choice Requires="wps">
            <w:drawing>
              <wp:anchor distT="45720" distB="45720" distL="114300" distR="114300" simplePos="0" relativeHeight="251661312" behindDoc="0" locked="0" layoutInCell="1" allowOverlap="1" wp14:anchorId="332A6617" wp14:editId="7C9B5865">
                <wp:simplePos x="0" y="0"/>
                <wp:positionH relativeFrom="column">
                  <wp:posOffset>1528445</wp:posOffset>
                </wp:positionH>
                <wp:positionV relativeFrom="paragraph">
                  <wp:posOffset>158750</wp:posOffset>
                </wp:positionV>
                <wp:extent cx="4339590" cy="450215"/>
                <wp:effectExtent l="0" t="0" r="22860" b="260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9590" cy="450215"/>
                        </a:xfrm>
                        <a:prstGeom prst="rect">
                          <a:avLst/>
                        </a:prstGeom>
                        <a:solidFill>
                          <a:srgbClr val="FFFFFF"/>
                        </a:solidFill>
                        <a:ln w="9525">
                          <a:solidFill>
                            <a:schemeClr val="bg1"/>
                          </a:solidFill>
                          <a:miter lim="800000"/>
                          <a:headEnd/>
                          <a:tailEnd/>
                        </a:ln>
                      </wps:spPr>
                      <wps:txbx>
                        <w:txbxContent>
                          <w:p w:rsidR="00735212" w:rsidP="00735212" w:rsidRDefault="00735212" w14:paraId="3C089069" w14:textId="77777777">
                            <w:r>
                              <w:rPr>
                                <w:rStyle w:val="UNIDAD"/>
                                <w:sz w:val="36"/>
                                <w:szCs w:val="36"/>
                              </w:rPr>
                              <w:t xml:space="preserve">PLANTILLA DE ENTREGA DE </w:t>
                            </w:r>
                            <w:r w:rsidR="000D2EC7">
                              <w:rPr>
                                <w:rStyle w:val="UNIDAD"/>
                                <w:sz w:val="36"/>
                                <w:szCs w:val="36"/>
                              </w:rPr>
                              <w:t>TRABAJO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32A6617">
                <v:stroke joinstyle="miter"/>
                <v:path gradientshapeok="t" o:connecttype="rect"/>
              </v:shapetype>
              <v:shape id="Cuadro de texto 2" style="position:absolute;margin-left:120.35pt;margin-top:12.5pt;width:341.7pt;height:3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">
                <v:textbox>
                  <w:txbxContent>
                    <w:p w:rsidR="00735212" w:rsidP="00735212" w:rsidRDefault="00735212" w14:paraId="3C089069" w14:textId="77777777">
                      <w:r>
                        <w:rPr>
                          <w:rStyle w:val="UNIDAD"/>
                          <w:sz w:val="36"/>
                          <w:szCs w:val="36"/>
                        </w:rPr>
                        <w:t xml:space="preserve">PLANTILLA DE ENTREGA DE </w:t>
                      </w:r>
                      <w:r w:rsidR="000D2EC7">
                        <w:rPr>
                          <w:rStyle w:val="UNIDAD"/>
                          <w:sz w:val="36"/>
                          <w:szCs w:val="36"/>
                        </w:rPr>
                        <w:t>TRABAJO</w:t>
                      </w:r>
                    </w:p>
                  </w:txbxContent>
                </v:textbox>
                <w10:wrap type="square"/>
              </v:shape>
            </w:pict>
          </mc:Fallback>
        </mc:AlternateContent>
      </w:r>
      <w:r w:rsidR="00B221D9">
        <w:tab/>
      </w:r>
    </w:p>
    <w:p w:rsidR="00735212" w:rsidP="00B221D9" w:rsidRDefault="00735212" w14:paraId="644BE53A" w14:textId="77777777">
      <w:pPr>
        <w:jc w:val="right"/>
      </w:pPr>
    </w:p>
    <w:p w:rsidR="00735212" w:rsidRDefault="00735212" w14:paraId="4EA5D456" w14:textId="77777777"/>
    <w:p w:rsidR="00735212" w:rsidRDefault="00735212" w14:paraId="4ACFC128" w14:textId="77777777"/>
    <w:p w:rsidR="00735212" w:rsidRDefault="00735212" w14:paraId="1F31F42C" w14:textId="77777777"/>
    <w:p w:rsidR="00735212" w:rsidRDefault="00735212" w14:paraId="5A711140" w14:textId="77777777"/>
    <w:p w:rsidR="00735212" w:rsidRDefault="00735212" w14:paraId="3EAFB937" w14:textId="77777777"/>
    <w:p w:rsidR="00735212" w:rsidRDefault="00735212" w14:paraId="76613B35" w14:textId="77777777"/>
    <w:p w:rsidR="00735212" w:rsidRDefault="00735212" w14:paraId="0B29645B" w14:textId="77777777"/>
    <w:p w:rsidR="00735212" w:rsidRDefault="00735212" w14:paraId="4DFBB386" w14:textId="77777777"/>
    <w:p w:rsidR="00735212" w:rsidRDefault="00735212" w14:paraId="4C230BEC" w14:textId="77777777"/>
    <w:p w:rsidR="00735212" w:rsidRDefault="00735212" w14:paraId="778D3A51" w14:textId="77777777"/>
    <w:p w:rsidR="00735212" w:rsidRDefault="00735212" w14:paraId="0003309D" w14:textId="77777777"/>
    <w:p w:rsidR="00735212" w:rsidRDefault="00735212" w14:paraId="156C9BD4" w14:textId="77777777"/>
    <w:p w:rsidR="00735212" w:rsidRDefault="00735212" w14:paraId="02A2CE9D" w14:textId="77777777"/>
    <w:p w:rsidR="00735212" w:rsidRDefault="00735212" w14:paraId="3ADD1FFC" w14:textId="77777777"/>
    <w:p w:rsidR="00735212" w:rsidRDefault="00735212" w14:paraId="5020D88F" w14:textId="77777777"/>
    <w:p w:rsidRPr="009B0A7B" w:rsidR="009B0A7B" w:rsidP="009B0A7B" w:rsidRDefault="005555BA" w14:paraId="1720BC1F" w14:textId="77777777"/>
    <w:p w:rsidR="3B1B9307" w:rsidP="3B1B9307" w:rsidRDefault="3B1B9307" w14:paraId="6A2E27D5" w14:textId="191E0B67">
      <w:pPr>
        <w:pStyle w:val="Normal"/>
      </w:pPr>
    </w:p>
    <w:p w:rsidR="3B1B9307" w:rsidP="3B1B9307" w:rsidRDefault="3B1B9307" w14:paraId="0D21A56E" w14:textId="3E37C0E5">
      <w:pPr>
        <w:pStyle w:val="Normal"/>
      </w:pPr>
    </w:p>
    <w:p w:rsidR="0EDF72D0" w:rsidP="3B1B9307" w:rsidRDefault="0EDF72D0" w14:paraId="3AA5ED82" w14:textId="0A57D13C">
      <w:pPr>
        <w:pStyle w:val="Normal"/>
      </w:pPr>
      <w:r w:rsidR="0EDF72D0">
        <w:rPr/>
        <w:t>CIB201-198-223081-ONL-SEGURIDAD DE CABLEADO Y DATACENTER</w:t>
      </w:r>
    </w:p>
    <w:p w:rsidR="0EDF72D0" w:rsidP="3B1B9307" w:rsidRDefault="0EDF72D0" w14:paraId="08E8CF98" w14:textId="12920548">
      <w:pPr>
        <w:pStyle w:val="Normal"/>
      </w:pPr>
      <w:r w:rsidR="0EDF72D0">
        <w:rPr/>
        <w:t>Semana 3</w:t>
      </w:r>
    </w:p>
    <w:p w:rsidR="0EDF72D0" w:rsidP="3B1B9307" w:rsidRDefault="0EDF72D0" w14:paraId="02529988" w14:textId="63C9D7E3">
      <w:pPr>
        <w:pStyle w:val="Normal"/>
      </w:pPr>
      <w:r w:rsidR="0EDF72D0">
        <w:rPr/>
        <w:t>Jonathan Joel Salinas Santibañez</w:t>
      </w:r>
    </w:p>
    <w:sdt>
      <w:sdtPr>
        <w:rPr>
          <w:rFonts w:asciiTheme="minorHAnsi" w:hAnsiTheme="minorHAnsi" w:eastAsiaTheme="minorHAnsi" w:cstheme="minorBidi"/>
          <w:b w:val="0"/>
          <w:bCs w:val="0"/>
          <w:color w:val="auto"/>
          <w:sz w:val="22"/>
          <w:szCs w:val="22"/>
          <w:lang w:val="es-ES" w:eastAsia="en-US"/>
        </w:rPr>
        <w:id w:val="997852750"/>
        <w:docPartObj>
          <w:docPartGallery w:val="Table of Contents"/>
          <w:docPartUnique/>
        </w:docPartObj>
      </w:sdtPr>
      <w:sdtEndPr>
        <w:rPr>
          <w:noProof/>
          <w:lang w:val="es-CL"/>
        </w:rPr>
      </w:sdtEndPr>
      <w:sdtContent>
        <w:p w:rsidRPr="009B0A7B" w:rsidR="009B0A7B" w:rsidRDefault="009B0A7B" w14:paraId="5DDDA064" w14:textId="77777777">
          <w:pPr>
            <w:pStyle w:val="TtuloTDC"/>
            <w:rPr>
              <w:rFonts w:ascii="Arial" w:hAnsi="Arial" w:cs="Arial"/>
              <w:color w:val="404040" w:themeColor="text1" w:themeTint="BF"/>
              <w:lang w:val="es-ES"/>
            </w:rPr>
          </w:pPr>
          <w:r w:rsidRPr="009B0A7B">
            <w:rPr>
              <w:rFonts w:ascii="Arial" w:hAnsi="Arial" w:cs="Arial"/>
              <w:color w:val="404040" w:themeColor="text1" w:themeTint="BF"/>
              <w:lang w:val="es-ES"/>
            </w:rPr>
            <w:t>Índice</w:t>
          </w:r>
        </w:p>
        <w:p w:rsidRPr="009B0A7B" w:rsidR="009B0A7B" w:rsidP="009B0A7B" w:rsidRDefault="009B0A7B" w14:paraId="1A5EFFD6" w14:textId="77777777">
          <w:pPr>
            <w:rPr>
              <w:color w:val="404040" w:themeColor="text1" w:themeTint="BF"/>
              <w:lang w:val="es-ES" w:eastAsia="es-ES_tradnl"/>
            </w:rPr>
          </w:pPr>
        </w:p>
        <w:p w:rsidRPr="009B0A7B" w:rsidR="009B0A7B" w:rsidRDefault="009B0A7B" w14:paraId="4989709C" w14:textId="77777777">
          <w:pPr>
            <w:pStyle w:val="TDC1"/>
            <w:tabs>
              <w:tab w:val="right" w:leader="dot" w:pos="9345"/>
            </w:tabs>
            <w:rPr>
              <w:noProof/>
              <w:color w:val="404040" w:themeColor="text1" w:themeTint="BF"/>
            </w:rPr>
          </w:pPr>
          <w:r w:rsidRPr="009B0A7B">
            <w:rPr>
              <w:b w:val="0"/>
              <w:bCs w:val="0"/>
              <w:color w:val="404040" w:themeColor="text1" w:themeTint="BF"/>
            </w:rPr>
            <w:fldChar w:fldCharType="begin"/>
          </w:r>
          <w:r w:rsidRPr="009B0A7B">
            <w:rPr>
              <w:color w:val="404040" w:themeColor="text1" w:themeTint="BF"/>
            </w:rPr>
            <w:instrText>TOC \o "1-3" \h \z \u</w:instrText>
          </w:r>
          <w:r w:rsidRPr="009B0A7B">
            <w:rPr>
              <w:b w:val="0"/>
              <w:bCs w:val="0"/>
              <w:color w:val="404040" w:themeColor="text1" w:themeTint="BF"/>
            </w:rPr>
            <w:fldChar w:fldCharType="separate"/>
          </w:r>
          <w:hyperlink w:history="1" w:anchor="_Toc46485953">
            <w:r w:rsidRPr="009B0A7B">
              <w:rPr>
                <w:rStyle w:val="Hipervnculo"/>
                <w:rFonts w:ascii="Arial" w:hAnsi="Arial" w:cs="Arial"/>
                <w:noProof/>
                <w:color w:val="404040" w:themeColor="text1" w:themeTint="BF"/>
              </w:rPr>
              <w:t>Introducción</w:t>
            </w:r>
            <w:r w:rsidRPr="009B0A7B">
              <w:rPr>
                <w:noProof/>
                <w:webHidden/>
                <w:color w:val="404040" w:themeColor="text1" w:themeTint="BF"/>
              </w:rPr>
              <w:tab/>
            </w:r>
            <w:r w:rsidRPr="009B0A7B">
              <w:rPr>
                <w:noProof/>
                <w:webHidden/>
                <w:color w:val="404040" w:themeColor="text1" w:themeTint="BF"/>
              </w:rPr>
              <w:fldChar w:fldCharType="begin"/>
            </w:r>
            <w:r w:rsidRPr="009B0A7B">
              <w:rPr>
                <w:noProof/>
                <w:webHidden/>
                <w:color w:val="404040" w:themeColor="text1" w:themeTint="BF"/>
              </w:rPr>
              <w:instrText xml:space="preserve"> PAGEREF _Toc46485953 \h </w:instrText>
            </w:r>
            <w:r w:rsidRPr="009B0A7B">
              <w:rPr>
                <w:noProof/>
                <w:webHidden/>
                <w:color w:val="404040" w:themeColor="text1" w:themeTint="BF"/>
              </w:rPr>
            </w:r>
            <w:r w:rsidRPr="009B0A7B">
              <w:rPr>
                <w:noProof/>
                <w:webHidden/>
                <w:color w:val="404040" w:themeColor="text1" w:themeTint="BF"/>
              </w:rPr>
              <w:fldChar w:fldCharType="separate"/>
            </w:r>
            <w:r w:rsidRPr="009B0A7B">
              <w:rPr>
                <w:noProof/>
                <w:webHidden/>
                <w:color w:val="404040" w:themeColor="text1" w:themeTint="BF"/>
              </w:rPr>
              <w:t>4</w:t>
            </w:r>
            <w:r w:rsidRPr="009B0A7B">
              <w:rPr>
                <w:noProof/>
                <w:webHidden/>
                <w:color w:val="404040" w:themeColor="text1" w:themeTint="BF"/>
              </w:rPr>
              <w:fldChar w:fldCharType="end"/>
            </w:r>
          </w:hyperlink>
        </w:p>
        <w:p w:rsidRPr="009B0A7B" w:rsidR="009B0A7B" w:rsidRDefault="0056700A" w14:paraId="38B1EF88" w14:textId="77777777">
          <w:pPr>
            <w:pStyle w:val="TDC1"/>
            <w:tabs>
              <w:tab w:val="right" w:leader="dot" w:pos="9345"/>
            </w:tabs>
            <w:rPr>
              <w:noProof/>
              <w:color w:val="404040" w:themeColor="text1" w:themeTint="BF"/>
            </w:rPr>
          </w:pPr>
          <w:hyperlink w:history="1" w:anchor="_Toc46485954">
            <w:r w:rsidRPr="009B0A7B" w:rsidR="009B0A7B">
              <w:rPr>
                <w:rStyle w:val="Hipervnculo"/>
                <w:rFonts w:ascii="Arial" w:hAnsi="Arial" w:cs="Arial"/>
                <w:noProof/>
                <w:color w:val="404040" w:themeColor="text1" w:themeTint="BF"/>
              </w:rPr>
              <w:t>Desarrollo</w:t>
            </w:r>
            <w:r w:rsidRPr="009B0A7B" w:rsidR="009B0A7B">
              <w:rPr>
                <w:noProof/>
                <w:webHidden/>
                <w:color w:val="404040" w:themeColor="text1" w:themeTint="BF"/>
              </w:rPr>
              <w:tab/>
            </w:r>
            <w:r w:rsidRPr="009B0A7B" w:rsidR="009B0A7B">
              <w:rPr>
                <w:noProof/>
                <w:webHidden/>
                <w:color w:val="404040" w:themeColor="text1" w:themeTint="BF"/>
              </w:rPr>
              <w:fldChar w:fldCharType="begin"/>
            </w:r>
            <w:r w:rsidRPr="009B0A7B" w:rsidR="009B0A7B">
              <w:rPr>
                <w:noProof/>
                <w:webHidden/>
                <w:color w:val="404040" w:themeColor="text1" w:themeTint="BF"/>
              </w:rPr>
              <w:instrText xml:space="preserve"> PAGEREF _Toc46485954 \h </w:instrText>
            </w:r>
            <w:r w:rsidRPr="009B0A7B" w:rsidR="009B0A7B">
              <w:rPr>
                <w:noProof/>
                <w:webHidden/>
                <w:color w:val="404040" w:themeColor="text1" w:themeTint="BF"/>
              </w:rPr>
            </w:r>
            <w:r w:rsidRPr="009B0A7B" w:rsidR="009B0A7B">
              <w:rPr>
                <w:noProof/>
                <w:webHidden/>
                <w:color w:val="404040" w:themeColor="text1" w:themeTint="BF"/>
              </w:rPr>
              <w:fldChar w:fldCharType="separate"/>
            </w:r>
            <w:r w:rsidRPr="009B0A7B" w:rsidR="009B0A7B">
              <w:rPr>
                <w:noProof/>
                <w:webHidden/>
                <w:color w:val="404040" w:themeColor="text1" w:themeTint="BF"/>
              </w:rPr>
              <w:t>5</w:t>
            </w:r>
            <w:r w:rsidRPr="009B0A7B" w:rsidR="009B0A7B">
              <w:rPr>
                <w:noProof/>
                <w:webHidden/>
                <w:color w:val="404040" w:themeColor="text1" w:themeTint="BF"/>
              </w:rPr>
              <w:fldChar w:fldCharType="end"/>
            </w:r>
          </w:hyperlink>
        </w:p>
        <w:p w:rsidRPr="009B0A7B" w:rsidR="009B0A7B" w:rsidRDefault="0056700A" w14:paraId="1D3F0C99" w14:textId="77777777">
          <w:pPr>
            <w:pStyle w:val="TDC1"/>
            <w:tabs>
              <w:tab w:val="right" w:leader="dot" w:pos="9345"/>
            </w:tabs>
            <w:rPr>
              <w:noProof/>
              <w:color w:val="404040" w:themeColor="text1" w:themeTint="BF"/>
            </w:rPr>
          </w:pPr>
          <w:hyperlink w:history="1" w:anchor="_Toc46485955">
            <w:r w:rsidRPr="009B0A7B" w:rsidR="009B0A7B">
              <w:rPr>
                <w:rStyle w:val="Hipervnculo"/>
                <w:rFonts w:ascii="Arial" w:hAnsi="Arial" w:cs="Arial"/>
                <w:noProof/>
                <w:color w:val="404040" w:themeColor="text1" w:themeTint="BF"/>
              </w:rPr>
              <w:t>Conclusión</w:t>
            </w:r>
            <w:r w:rsidRPr="009B0A7B" w:rsidR="009B0A7B">
              <w:rPr>
                <w:noProof/>
                <w:webHidden/>
                <w:color w:val="404040" w:themeColor="text1" w:themeTint="BF"/>
              </w:rPr>
              <w:tab/>
            </w:r>
            <w:r w:rsidRPr="009B0A7B" w:rsidR="009B0A7B">
              <w:rPr>
                <w:noProof/>
                <w:webHidden/>
                <w:color w:val="404040" w:themeColor="text1" w:themeTint="BF"/>
              </w:rPr>
              <w:fldChar w:fldCharType="begin"/>
            </w:r>
            <w:r w:rsidRPr="009B0A7B" w:rsidR="009B0A7B">
              <w:rPr>
                <w:noProof/>
                <w:webHidden/>
                <w:color w:val="404040" w:themeColor="text1" w:themeTint="BF"/>
              </w:rPr>
              <w:instrText xml:space="preserve"> PAGEREF _Toc46485955 \h </w:instrText>
            </w:r>
            <w:r w:rsidRPr="009B0A7B" w:rsidR="009B0A7B">
              <w:rPr>
                <w:noProof/>
                <w:webHidden/>
                <w:color w:val="404040" w:themeColor="text1" w:themeTint="BF"/>
              </w:rPr>
            </w:r>
            <w:r w:rsidRPr="009B0A7B" w:rsidR="009B0A7B">
              <w:rPr>
                <w:noProof/>
                <w:webHidden/>
                <w:color w:val="404040" w:themeColor="text1" w:themeTint="BF"/>
              </w:rPr>
              <w:fldChar w:fldCharType="separate"/>
            </w:r>
            <w:r w:rsidRPr="009B0A7B" w:rsidR="009B0A7B">
              <w:rPr>
                <w:noProof/>
                <w:webHidden/>
                <w:color w:val="404040" w:themeColor="text1" w:themeTint="BF"/>
              </w:rPr>
              <w:t>6</w:t>
            </w:r>
            <w:r w:rsidRPr="009B0A7B" w:rsidR="009B0A7B">
              <w:rPr>
                <w:noProof/>
                <w:webHidden/>
                <w:color w:val="404040" w:themeColor="text1" w:themeTint="BF"/>
              </w:rPr>
              <w:fldChar w:fldCharType="end"/>
            </w:r>
          </w:hyperlink>
        </w:p>
        <w:p w:rsidRPr="009B0A7B" w:rsidR="009B0A7B" w:rsidRDefault="0056700A" w14:paraId="16D31B68" w14:textId="77777777">
          <w:pPr>
            <w:pStyle w:val="TDC1"/>
            <w:tabs>
              <w:tab w:val="right" w:leader="dot" w:pos="9345"/>
            </w:tabs>
            <w:rPr>
              <w:noProof/>
              <w:color w:val="404040" w:themeColor="text1" w:themeTint="BF"/>
            </w:rPr>
          </w:pPr>
          <w:hyperlink w:history="1" w:anchor="_Toc46485956">
            <w:r w:rsidRPr="009B0A7B" w:rsidR="009B0A7B">
              <w:rPr>
                <w:rStyle w:val="Hipervnculo"/>
                <w:rFonts w:ascii="Arial" w:hAnsi="Arial" w:cs="Arial"/>
                <w:noProof/>
                <w:color w:val="404040" w:themeColor="text1" w:themeTint="BF"/>
              </w:rPr>
              <w:t>Bibliografía</w:t>
            </w:r>
            <w:r w:rsidRPr="009B0A7B" w:rsidR="009B0A7B">
              <w:rPr>
                <w:noProof/>
                <w:webHidden/>
                <w:color w:val="404040" w:themeColor="text1" w:themeTint="BF"/>
              </w:rPr>
              <w:tab/>
            </w:r>
            <w:r w:rsidRPr="009B0A7B" w:rsidR="009B0A7B">
              <w:rPr>
                <w:noProof/>
                <w:webHidden/>
                <w:color w:val="404040" w:themeColor="text1" w:themeTint="BF"/>
              </w:rPr>
              <w:fldChar w:fldCharType="begin"/>
            </w:r>
            <w:r w:rsidRPr="009B0A7B" w:rsidR="009B0A7B">
              <w:rPr>
                <w:noProof/>
                <w:webHidden/>
                <w:color w:val="404040" w:themeColor="text1" w:themeTint="BF"/>
              </w:rPr>
              <w:instrText xml:space="preserve"> PAGEREF _Toc46485956 \h </w:instrText>
            </w:r>
            <w:r w:rsidRPr="009B0A7B" w:rsidR="009B0A7B">
              <w:rPr>
                <w:noProof/>
                <w:webHidden/>
                <w:color w:val="404040" w:themeColor="text1" w:themeTint="BF"/>
              </w:rPr>
            </w:r>
            <w:r w:rsidRPr="009B0A7B" w:rsidR="009B0A7B">
              <w:rPr>
                <w:noProof/>
                <w:webHidden/>
                <w:color w:val="404040" w:themeColor="text1" w:themeTint="BF"/>
              </w:rPr>
              <w:fldChar w:fldCharType="separate"/>
            </w:r>
            <w:r w:rsidRPr="009B0A7B" w:rsidR="009B0A7B">
              <w:rPr>
                <w:noProof/>
                <w:webHidden/>
                <w:color w:val="404040" w:themeColor="text1" w:themeTint="BF"/>
              </w:rPr>
              <w:t>7</w:t>
            </w:r>
            <w:r w:rsidRPr="009B0A7B" w:rsidR="009B0A7B">
              <w:rPr>
                <w:noProof/>
                <w:webHidden/>
                <w:color w:val="404040" w:themeColor="text1" w:themeTint="BF"/>
              </w:rPr>
              <w:fldChar w:fldCharType="end"/>
            </w:r>
          </w:hyperlink>
        </w:p>
        <w:p w:rsidRPr="00094779" w:rsidR="003B431E" w:rsidP="003B431E" w:rsidRDefault="003B431E" w14:paraId="1D17C704" w14:textId="2D0B44E2">
          <w:pPr>
            <w:autoSpaceDE w:val="0"/>
            <w:autoSpaceDN w:val="0"/>
            <w:adjustRightInd w:val="0"/>
            <w:spacing w:line="360" w:lineRule="auto"/>
          </w:pPr>
          <w:r w:rsidRPr="3B1B9307">
            <w:rPr>
              <w:b w:val="1"/>
              <w:bCs w:val="1"/>
              <w:noProof/>
              <w:color w:val="404040" w:themeColor="text1" w:themeTint="BF" w:themeShade="FF"/>
            </w:rPr>
            <w:fldChar w:fldCharType="end"/>
          </w:r>
        </w:p>
      </w:sdtContent>
    </w:sdt>
    <w:p w:rsidR="009B0A7B" w:rsidP="009A6883" w:rsidRDefault="009B0A7B" w14:paraId="78A8ED43" w14:textId="77777777">
      <w:pPr>
        <w:spacing w:line="360" w:lineRule="auto"/>
        <w:jc w:val="both"/>
        <w:rPr>
          <w:rFonts w:ascii="Arial" w:hAnsi="Arial" w:cs="Arial"/>
          <w:color w:val="575757"/>
          <w:sz w:val="24"/>
          <w:szCs w:val="20"/>
        </w:rPr>
      </w:pPr>
    </w:p>
    <w:p w:rsidRPr="00C2085D" w:rsidR="00C2085D" w:rsidP="00C2085D" w:rsidRDefault="00C2085D" w14:paraId="03A3227F" w14:textId="77777777">
      <w:pPr>
        <w:spacing w:line="360" w:lineRule="auto"/>
        <w:rPr>
          <w:rFonts w:ascii="Arial" w:hAnsi="Arial" w:cs="Arial"/>
          <w:sz w:val="28"/>
        </w:rPr>
      </w:pPr>
    </w:p>
    <w:p w:rsidR="00735212" w:rsidRDefault="00735212" w14:paraId="246F1F0E" w14:textId="77777777"/>
    <w:p w:rsidR="00735212" w:rsidRDefault="00735212" w14:paraId="56072969" w14:textId="77777777"/>
    <w:p w:rsidR="00735212" w:rsidRDefault="00735212" w14:paraId="6BCC8C5D" w14:textId="77777777"/>
    <w:p w:rsidR="00735212" w:rsidRDefault="00735212" w14:paraId="2131C938" w14:textId="77777777"/>
    <w:p w:rsidR="00735212" w:rsidRDefault="00735212" w14:paraId="0E011F85" w14:textId="77777777"/>
    <w:p w:rsidR="00735212" w:rsidRDefault="00735212" w14:paraId="5C22F14E" w14:textId="77777777"/>
    <w:p w:rsidR="00735212" w:rsidRDefault="00735212" w14:paraId="43901BD2" w14:textId="77777777"/>
    <w:p w:rsidR="00735212" w:rsidRDefault="00735212" w14:paraId="0A882301" w14:textId="77777777"/>
    <w:p w:rsidR="00735212" w:rsidRDefault="00735212" w14:paraId="23B39D6E" w14:textId="77777777"/>
    <w:p w:rsidR="00735212" w:rsidRDefault="00735212" w14:paraId="3CAB440D" w14:textId="77777777"/>
    <w:p w:rsidR="00735212" w:rsidRDefault="00735212" w14:paraId="115E7E51" w14:textId="77777777"/>
    <w:p w:rsidR="00735212" w:rsidRDefault="00735212" w14:paraId="7120A9DD" w14:textId="77777777"/>
    <w:p w:rsidR="00735212" w:rsidRDefault="00735212" w14:paraId="0D216538" w14:textId="77777777"/>
    <w:p w:rsidRPr="003B431E" w:rsidR="00C2085D" w:rsidP="003B431E" w:rsidRDefault="00131753" w14:paraId="5534D867" w14:textId="77777777">
      <w:pPr>
        <w:pStyle w:val="Ttulo1"/>
        <w:rPr>
          <w:rFonts w:ascii="Arial" w:hAnsi="Arial" w:cs="Arial"/>
        </w:rPr>
      </w:pPr>
      <w:r>
        <w:br w:type="page"/>
      </w:r>
      <w:bookmarkStart w:name="_Toc46485953" w:id="1"/>
      <w:r w:rsidRPr="003B431E" w:rsidR="00C06D15">
        <w:rPr>
          <w:rFonts w:ascii="Arial" w:hAnsi="Arial" w:cs="Arial"/>
          <w:color w:val="404040" w:themeColor="text1" w:themeTint="BF"/>
        </w:rPr>
        <w:lastRenderedPageBreak/>
        <w:t>Introducción</w:t>
      </w:r>
      <w:bookmarkEnd w:id="1"/>
    </w:p>
    <w:p w:rsidR="0028109E" w:rsidP="00C2085D" w:rsidRDefault="0028109E" w14:paraId="675ED70F" w14:textId="77777777">
      <w:pPr>
        <w:spacing w:line="360" w:lineRule="auto"/>
        <w:rPr>
          <w:rFonts w:ascii="Arial" w:hAnsi="Arial" w:cs="Arial"/>
          <w:color w:val="575757"/>
          <w:sz w:val="24"/>
          <w:szCs w:val="20"/>
        </w:rPr>
      </w:pPr>
    </w:p>
    <w:p w:rsidR="0F4E3B7A" w:rsidP="3B1B9307" w:rsidRDefault="0F4E3B7A" w14:paraId="5BFDFF15" w14:textId="39F32217">
      <w:pPr>
        <w:pStyle w:val="Normal"/>
        <w:jc w:val="both"/>
        <w:rPr>
          <w:rFonts w:ascii="Arial" w:hAnsi="Arial" w:eastAsia="Arial" w:cs="Arial"/>
          <w:sz w:val="24"/>
          <w:szCs w:val="24"/>
        </w:rPr>
      </w:pPr>
      <w:r w:rsidRPr="3B1B9307" w:rsidR="0F4E3B7A">
        <w:rPr>
          <w:rFonts w:ascii="Arial" w:hAnsi="Arial" w:eastAsia="Arial" w:cs="Arial"/>
          <w:sz w:val="24"/>
          <w:szCs w:val="24"/>
        </w:rPr>
        <w:t>El presente informe se enfoca en un incidente de seguridad que tuvo lugar en el centro de datos de AIEP, ubicado en el primer piso de su sede Grajales. Este incidente destacó la falta de medidas de seguridad física efectivas en el centro de datos, lo que resultó en una violación de seguridad significativa y consecuencias graves para la institución educativa. En este informe, analizaremos la causa principal de la violación de seguridad, recomendaremos medidas para prevenir futuras vulnerabilidades, identificaremos la vulnerabilidad que permitió la propagación del incendio y propondremos soluciones para la mitigación automática de incendios en el futuro. Además, se destacarán las ventajas de implementar un control de acceso en un rack de comunicaciones para garantizar la integridad y disponibilidad de los sistemas críticos en un entorno de centro de datos.</w:t>
      </w:r>
    </w:p>
    <w:p w:rsidR="00C2085D" w:rsidP="3B1B9307" w:rsidRDefault="00C2085D" w14:paraId="3043394C" w14:textId="77777777">
      <w:pPr>
        <w:pStyle w:val="Normal"/>
        <w:jc w:val="both"/>
        <w:rPr>
          <w:rFonts w:ascii="Arial" w:hAnsi="Arial" w:eastAsia="Arial" w:cs="Arial"/>
          <w:color w:val="575757"/>
          <w:sz w:val="24"/>
          <w:szCs w:val="24"/>
        </w:rPr>
      </w:pPr>
      <w:r w:rsidRPr="3B1B9307">
        <w:rPr>
          <w:rFonts w:ascii="Arial" w:hAnsi="Arial" w:eastAsia="Arial" w:cs="Arial"/>
          <w:sz w:val="24"/>
          <w:szCs w:val="24"/>
        </w:rPr>
        <w:br w:type="page"/>
      </w:r>
    </w:p>
    <w:p w:rsidR="7D22DC91" w:rsidP="3B1B9307" w:rsidRDefault="7D22DC91" w14:paraId="36DFA24B" w14:textId="06B73CCE">
      <w:pPr>
        <w:pStyle w:val="Ttulo1"/>
        <w:rPr>
          <w:rFonts w:ascii="Arial" w:hAnsi="Arial" w:cs="Arial"/>
          <w:color w:val="404040" w:themeColor="text1" w:themeTint="BF" w:themeShade="FF"/>
        </w:rPr>
      </w:pPr>
      <w:r w:rsidRPr="3B1B9307" w:rsidR="7D22DC91">
        <w:rPr>
          <w:rFonts w:ascii="Arial" w:hAnsi="Arial" w:cs="Arial"/>
          <w:color w:val="404040" w:themeColor="text1" w:themeTint="BF" w:themeShade="FF"/>
        </w:rPr>
        <w:t>Desarrollo</w:t>
      </w:r>
    </w:p>
    <w:p w:rsidR="3B1B9307" w:rsidP="3B1B9307" w:rsidRDefault="3B1B9307" w14:paraId="3F597B22" w14:textId="6256329C">
      <w:pPr>
        <w:pStyle w:val="Normal"/>
      </w:pPr>
    </w:p>
    <w:p w:rsidR="63A84B1E" w:rsidP="3B1B9307" w:rsidRDefault="63A84B1E" w14:paraId="0AB2BB8C" w14:textId="09548E1A">
      <w:pPr>
        <w:pStyle w:val="Normal"/>
        <w:jc w:val="both"/>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Causa principal de violación de seguridad en el rack de comunicaciones:</w:t>
      </w:r>
    </w:p>
    <w:p w:rsidR="63A84B1E" w:rsidP="3B1B9307" w:rsidRDefault="63A84B1E" w14:paraId="65FB2AC5" w14:textId="4722408D">
      <w:pPr>
        <w:pStyle w:val="Normal"/>
        <w:jc w:val="both"/>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La causa principal de la violación de seguridad en el rack de comunicaciones fue el acceso no autorizado de Don Carlos a la sala del centro de datos. Al conectar un hervidor y un alargador eléctrico al rack de los switches, creó un riesgo de sobrecarga eléctrica que resultó en el sobrecalentamiento y posterior incendio del equipo.</w:t>
      </w:r>
    </w:p>
    <w:p w:rsidR="63A84B1E" w:rsidP="3B1B9307" w:rsidRDefault="63A84B1E" w14:paraId="2B634C1C" w14:textId="44AFAE8B">
      <w:pPr>
        <w:pStyle w:val="Normal"/>
        <w:jc w:val="both"/>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 xml:space="preserve"> </w:t>
      </w:r>
    </w:p>
    <w:p w:rsidR="63A84B1E" w:rsidP="3B1B9307" w:rsidRDefault="63A84B1E" w14:paraId="28048A47" w14:textId="388F27C0">
      <w:pPr>
        <w:pStyle w:val="Normal"/>
        <w:jc w:val="both"/>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Herramienta o equipamiento recomendado para prevenir la vulnerabilidad en el rack de comunicaciones:</w:t>
      </w:r>
    </w:p>
    <w:p w:rsidR="63A84B1E" w:rsidP="3B1B9307" w:rsidRDefault="63A84B1E" w14:paraId="5242A1A9" w14:textId="7239607F">
      <w:pPr>
        <w:pStyle w:val="Normal"/>
        <w:jc w:val="both"/>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Para prevenir futuras vulnerabilidades en el rack de comunicaciones, se recomienda implementar un sistema de control de acceso físico, como una cerradura electrónica con tarjeta de acceso o un lector de huellas dactilares en la puerta de la sala del centro de datos. Esto garantizará que solo personas autorizadas puedan ingresar y manipular los equipos.</w:t>
      </w:r>
    </w:p>
    <w:p w:rsidR="63A84B1E" w:rsidP="3B1B9307" w:rsidRDefault="63A84B1E" w14:paraId="6BB4F51A" w14:textId="5B474B6B">
      <w:pPr>
        <w:pStyle w:val="Normal"/>
        <w:jc w:val="both"/>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 xml:space="preserve"> </w:t>
      </w:r>
    </w:p>
    <w:p w:rsidR="63A84B1E" w:rsidP="3B1B9307" w:rsidRDefault="63A84B1E" w14:paraId="28DC7BB9" w14:textId="09785581">
      <w:pPr>
        <w:pStyle w:val="Normal"/>
        <w:jc w:val="both"/>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Vulnerabilidad que permitió la propagación del incendio por una hora:</w:t>
      </w:r>
    </w:p>
    <w:p w:rsidR="63A84B1E" w:rsidP="3B1B9307" w:rsidRDefault="63A84B1E" w14:paraId="42F110B4" w14:textId="77625261">
      <w:pPr>
        <w:pStyle w:val="Normal"/>
        <w:jc w:val="both"/>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La vulnerabilidad que permitió que el incendio se propagara durante una hora fue la falta de un sistema de detección y extinción automática de incendios en el rack de comunicaciones. La falta de un sistema adecuado para detectar y combatir el fuego de manera inmediata permitió que el incendio se extendiera antes de que el personal de seguridad lo descubriera.</w:t>
      </w:r>
    </w:p>
    <w:p w:rsidR="63A84B1E" w:rsidP="3B1B9307" w:rsidRDefault="63A84B1E" w14:paraId="4B7694B5" w14:textId="6309288C">
      <w:pPr>
        <w:pStyle w:val="Normal"/>
        <w:jc w:val="both"/>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 xml:space="preserve"> </w:t>
      </w:r>
    </w:p>
    <w:p w:rsidR="63A84B1E" w:rsidP="3B1B9307" w:rsidRDefault="63A84B1E" w14:paraId="728A4A09" w14:textId="566B275A">
      <w:pPr>
        <w:pStyle w:val="Normal"/>
        <w:jc w:val="both"/>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Herramienta o equipamiento recomendado para apagar automáticamente futuros incendios en un rack:</w:t>
      </w:r>
    </w:p>
    <w:p w:rsidR="63A84B1E" w:rsidP="3B1B9307" w:rsidRDefault="63A84B1E" w14:paraId="368A9D86" w14:textId="2CED8012">
      <w:pPr>
        <w:pStyle w:val="Normal"/>
        <w:jc w:val="both"/>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Para garantizar una respuesta más rápida y efectiva a futuros incendios en un rack de comunicaciones, se debe implementar un sistema de supresión de incendios automático, como un sistema de extinción de incendios por gas inerte o un sistema de rociadores automáticos. Estos sistemas pueden detectar y extinguir incendios de manera rápida y eficiente, minimizando el daño a los equipos y evitando tiempos prolongados de inactividad.</w:t>
      </w:r>
    </w:p>
    <w:p w:rsidR="63A84B1E" w:rsidP="3B1B9307" w:rsidRDefault="63A84B1E" w14:paraId="5084FC43" w14:textId="76DE2C32">
      <w:pPr>
        <w:pStyle w:val="Normal"/>
        <w:jc w:val="both"/>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 xml:space="preserve"> </w:t>
      </w:r>
    </w:p>
    <w:p w:rsidR="63A84B1E" w:rsidP="3B1B9307" w:rsidRDefault="63A84B1E" w14:paraId="400FD0CA" w14:textId="334BA52B">
      <w:pPr>
        <w:pStyle w:val="Normal"/>
        <w:jc w:val="both"/>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Ventajas de un control de acceso en un rack de comunicaciones:</w:t>
      </w:r>
    </w:p>
    <w:p w:rsidR="63A84B1E" w:rsidP="3B1B9307" w:rsidRDefault="63A84B1E" w14:paraId="4873305B" w14:textId="45F546BD">
      <w:pPr>
        <w:pStyle w:val="Normal"/>
        <w:jc w:val="both"/>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Cuatro ventajas de implementar un control de acceso en un rack de comunicaciones son:</w:t>
      </w:r>
    </w:p>
    <w:p w:rsidR="63A84B1E" w:rsidP="3B1B9307" w:rsidRDefault="63A84B1E" w14:paraId="7A75BF8B" w14:textId="423F73B5">
      <w:pPr>
        <w:pStyle w:val="Normal"/>
        <w:jc w:val="both"/>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 xml:space="preserve"> </w:t>
      </w:r>
    </w:p>
    <w:p w:rsidR="63A84B1E" w:rsidP="3B1B9307" w:rsidRDefault="63A84B1E" w14:paraId="4B7DD58E" w14:textId="788F1235">
      <w:pPr>
        <w:pStyle w:val="ListParagraph"/>
        <w:numPr>
          <w:ilvl w:val="0"/>
          <w:numId w:val="1"/>
        </w:numPr>
        <w:jc w:val="left"/>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Seguridad mejorada: Impide el acceso no autorizado a la sala del centro de datos y al equipo crítico, protegiéndolo de robos y manipulaciones no autorizadas.</w:t>
      </w:r>
    </w:p>
    <w:p w:rsidR="3B1B9307" w:rsidP="3B1B9307" w:rsidRDefault="3B1B9307" w14:paraId="28894D9B" w14:textId="200DA758">
      <w:pPr>
        <w:pStyle w:val="Normal"/>
        <w:ind w:left="0"/>
        <w:jc w:val="left"/>
        <w:rPr>
          <w:rFonts w:ascii="Arial" w:hAnsi="Arial" w:eastAsia="Arial" w:cs="Arial"/>
          <w:color w:val="404040" w:themeColor="text1" w:themeTint="BF" w:themeShade="FF"/>
          <w:sz w:val="24"/>
          <w:szCs w:val="24"/>
        </w:rPr>
      </w:pPr>
    </w:p>
    <w:p w:rsidR="63A84B1E" w:rsidP="3B1B9307" w:rsidRDefault="63A84B1E" w14:paraId="2D80F5D3" w14:textId="74ED2F2A">
      <w:pPr>
        <w:pStyle w:val="ListParagraph"/>
        <w:numPr>
          <w:ilvl w:val="0"/>
          <w:numId w:val="1"/>
        </w:numPr>
        <w:jc w:val="left"/>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 xml:space="preserve">Registro de actividad: Permite llevar un registro de quién accede a la sala y </w:t>
      </w:r>
      <w:r w:rsidRPr="3B1B9307" w:rsidR="63A84B1E">
        <w:rPr>
          <w:rFonts w:ascii="Arial" w:hAnsi="Arial" w:eastAsia="Arial" w:cs="Arial"/>
          <w:sz w:val="24"/>
          <w:szCs w:val="24"/>
        </w:rPr>
        <w:t>cuándo, lo que facilita la auditoría de la seguridad y la responsabilidad.</w:t>
      </w:r>
    </w:p>
    <w:p w:rsidR="3B1B9307" w:rsidP="3B1B9307" w:rsidRDefault="3B1B9307" w14:paraId="62771943" w14:textId="3530A231">
      <w:pPr>
        <w:pStyle w:val="Normal"/>
        <w:ind w:left="0"/>
        <w:jc w:val="left"/>
        <w:rPr>
          <w:rFonts w:ascii="Arial" w:hAnsi="Arial" w:eastAsia="Arial" w:cs="Arial"/>
          <w:color w:val="404040" w:themeColor="text1" w:themeTint="BF" w:themeShade="FF"/>
          <w:sz w:val="24"/>
          <w:szCs w:val="24"/>
        </w:rPr>
      </w:pPr>
    </w:p>
    <w:p w:rsidR="63A84B1E" w:rsidP="3B1B9307" w:rsidRDefault="63A84B1E" w14:paraId="0453DC4A" w14:textId="16023498">
      <w:pPr>
        <w:pStyle w:val="ListParagraph"/>
        <w:numPr>
          <w:ilvl w:val="0"/>
          <w:numId w:val="1"/>
        </w:numPr>
        <w:jc w:val="left"/>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Prevención de accidentes: Evita situaciones como la descrita en el incidente, donde personas no autorizadas pueden causar daños accidentales a los equipos.</w:t>
      </w:r>
    </w:p>
    <w:p w:rsidR="3B1B9307" w:rsidP="3B1B9307" w:rsidRDefault="3B1B9307" w14:paraId="2EDB63FF" w14:textId="299242FB">
      <w:pPr>
        <w:pStyle w:val="Normal"/>
        <w:ind w:left="0"/>
        <w:jc w:val="left"/>
        <w:rPr>
          <w:rFonts w:ascii="Arial" w:hAnsi="Arial" w:eastAsia="Arial" w:cs="Arial"/>
          <w:color w:val="404040" w:themeColor="text1" w:themeTint="BF" w:themeShade="FF"/>
          <w:sz w:val="24"/>
          <w:szCs w:val="24"/>
        </w:rPr>
      </w:pPr>
    </w:p>
    <w:p w:rsidR="63A84B1E" w:rsidP="3B1B9307" w:rsidRDefault="63A84B1E" w14:paraId="6ABB8364" w14:textId="5E8D4D36">
      <w:pPr>
        <w:pStyle w:val="ListParagraph"/>
        <w:numPr>
          <w:ilvl w:val="0"/>
          <w:numId w:val="1"/>
        </w:numPr>
        <w:jc w:val="left"/>
        <w:rPr>
          <w:rFonts w:ascii="Arial" w:hAnsi="Arial" w:eastAsia="Arial" w:cs="Arial"/>
          <w:color w:val="404040" w:themeColor="text1" w:themeTint="BF" w:themeShade="FF"/>
          <w:sz w:val="24"/>
          <w:szCs w:val="24"/>
        </w:rPr>
      </w:pPr>
      <w:r w:rsidRPr="3B1B9307" w:rsidR="63A84B1E">
        <w:rPr>
          <w:rFonts w:ascii="Arial" w:hAnsi="Arial" w:eastAsia="Arial" w:cs="Arial"/>
          <w:sz w:val="24"/>
          <w:szCs w:val="24"/>
        </w:rPr>
        <w:t xml:space="preserve"> </w:t>
      </w:r>
      <w:r w:rsidRPr="3B1B9307" w:rsidR="63A84B1E">
        <w:rPr>
          <w:rFonts w:ascii="Arial" w:hAnsi="Arial" w:eastAsia="Arial" w:cs="Arial"/>
          <w:sz w:val="24"/>
          <w:szCs w:val="24"/>
        </w:rPr>
        <w:t>Mayor disponibilidad: Garantiza que solo personal autorizado pueda acceder al rack de comunicaciones, reduciendo el riesgo de interrupciones no planificadas en los servicios de red.</w:t>
      </w:r>
    </w:p>
    <w:p w:rsidR="3B1B9307" w:rsidP="3B1B9307" w:rsidRDefault="3B1B9307" w14:paraId="1FA8EAD4" w14:textId="2DAB6A65">
      <w:pPr>
        <w:pStyle w:val="Ttulo1"/>
        <w:rPr>
          <w:rFonts w:ascii="Arial" w:hAnsi="Arial" w:cs="Arial"/>
          <w:color w:val="404040" w:themeColor="text1" w:themeTint="BF" w:themeShade="FF"/>
        </w:rPr>
      </w:pPr>
    </w:p>
    <w:p w:rsidR="3B1B9307" w:rsidP="3B1B9307" w:rsidRDefault="3B1B9307" w14:paraId="5BFF80F8" w14:textId="78834A05">
      <w:pPr>
        <w:pStyle w:val="Ttulo1"/>
        <w:rPr>
          <w:rFonts w:ascii="Arial" w:hAnsi="Arial" w:cs="Arial"/>
          <w:color w:val="404040" w:themeColor="text1" w:themeTint="BF" w:themeShade="FF"/>
        </w:rPr>
      </w:pPr>
    </w:p>
    <w:p w:rsidR="3B1B9307" w:rsidP="3B1B9307" w:rsidRDefault="3B1B9307" w14:paraId="316F3968" w14:textId="7D173619">
      <w:pPr>
        <w:pStyle w:val="Ttulo1"/>
        <w:rPr>
          <w:rFonts w:ascii="Arial" w:hAnsi="Arial" w:cs="Arial"/>
          <w:color w:val="404040" w:themeColor="text1" w:themeTint="BF" w:themeShade="FF"/>
        </w:rPr>
      </w:pPr>
    </w:p>
    <w:p w:rsidR="3B1B9307" w:rsidP="3B1B9307" w:rsidRDefault="3B1B9307" w14:paraId="2CA95B70" w14:textId="1CD2B01C">
      <w:pPr>
        <w:pStyle w:val="Ttulo1"/>
        <w:rPr>
          <w:rFonts w:ascii="Arial" w:hAnsi="Arial" w:cs="Arial"/>
          <w:color w:val="404040" w:themeColor="text1" w:themeTint="BF" w:themeShade="FF"/>
        </w:rPr>
      </w:pPr>
    </w:p>
    <w:p w:rsidR="3B1B9307" w:rsidP="3B1B9307" w:rsidRDefault="3B1B9307" w14:paraId="20D72758" w14:textId="0F857038">
      <w:pPr>
        <w:pStyle w:val="Ttulo1"/>
        <w:rPr>
          <w:rFonts w:ascii="Arial" w:hAnsi="Arial" w:cs="Arial"/>
          <w:color w:val="404040" w:themeColor="text1" w:themeTint="BF" w:themeShade="FF"/>
        </w:rPr>
      </w:pPr>
    </w:p>
    <w:p w:rsidR="3B1B9307" w:rsidP="3B1B9307" w:rsidRDefault="3B1B9307" w14:paraId="12A2822F" w14:textId="5AC33691">
      <w:pPr>
        <w:pStyle w:val="Ttulo1"/>
        <w:rPr>
          <w:rFonts w:ascii="Arial" w:hAnsi="Arial" w:cs="Arial"/>
          <w:color w:val="404040" w:themeColor="text1" w:themeTint="BF" w:themeShade="FF"/>
        </w:rPr>
      </w:pPr>
    </w:p>
    <w:p w:rsidR="3B1B9307" w:rsidP="3B1B9307" w:rsidRDefault="3B1B9307" w14:paraId="0590CC2A" w14:textId="11C01FD8">
      <w:pPr>
        <w:pStyle w:val="Ttulo1"/>
        <w:rPr>
          <w:rFonts w:ascii="Arial" w:hAnsi="Arial" w:cs="Arial"/>
          <w:color w:val="404040" w:themeColor="text1" w:themeTint="BF" w:themeShade="FF"/>
        </w:rPr>
      </w:pPr>
    </w:p>
    <w:p w:rsidR="3B1B9307" w:rsidP="3B1B9307" w:rsidRDefault="3B1B9307" w14:paraId="59D64B2B" w14:textId="143983B6">
      <w:pPr>
        <w:pStyle w:val="Ttulo1"/>
        <w:rPr>
          <w:rFonts w:ascii="Arial" w:hAnsi="Arial" w:cs="Arial"/>
          <w:color w:val="404040" w:themeColor="text1" w:themeTint="BF" w:themeShade="FF"/>
        </w:rPr>
      </w:pPr>
    </w:p>
    <w:p w:rsidR="3B1B9307" w:rsidP="3B1B9307" w:rsidRDefault="3B1B9307" w14:paraId="51BC71A9" w14:textId="6B58AFD6">
      <w:pPr>
        <w:pStyle w:val="Ttulo1"/>
        <w:rPr>
          <w:rFonts w:ascii="Arial" w:hAnsi="Arial" w:cs="Arial"/>
          <w:color w:val="404040" w:themeColor="text1" w:themeTint="BF" w:themeShade="FF"/>
        </w:rPr>
      </w:pPr>
    </w:p>
    <w:p w:rsidR="3B1B9307" w:rsidP="3B1B9307" w:rsidRDefault="3B1B9307" w14:paraId="43EB0547" w14:textId="21CB0784">
      <w:pPr>
        <w:pStyle w:val="Ttulo1"/>
        <w:rPr>
          <w:rFonts w:ascii="Arial" w:hAnsi="Arial" w:cs="Arial"/>
          <w:color w:val="404040" w:themeColor="text1" w:themeTint="BF" w:themeShade="FF"/>
        </w:rPr>
      </w:pPr>
    </w:p>
    <w:p w:rsidR="3B1B9307" w:rsidP="3B1B9307" w:rsidRDefault="3B1B9307" w14:paraId="6A579081" w14:textId="29F863D6">
      <w:pPr>
        <w:pStyle w:val="Ttulo1"/>
        <w:rPr>
          <w:rFonts w:ascii="Arial" w:hAnsi="Arial" w:cs="Arial"/>
          <w:color w:val="404040" w:themeColor="text1" w:themeTint="BF" w:themeShade="FF"/>
        </w:rPr>
      </w:pPr>
    </w:p>
    <w:p w:rsidR="3B1B9307" w:rsidP="3B1B9307" w:rsidRDefault="3B1B9307" w14:paraId="183745D9" w14:textId="6EA3444E">
      <w:pPr>
        <w:pStyle w:val="Ttulo1"/>
        <w:rPr>
          <w:rFonts w:ascii="Arial" w:hAnsi="Arial" w:cs="Arial"/>
          <w:color w:val="404040" w:themeColor="text1" w:themeTint="BF" w:themeShade="FF"/>
        </w:rPr>
      </w:pPr>
    </w:p>
    <w:p w:rsidR="3B1B9307" w:rsidP="3B1B9307" w:rsidRDefault="3B1B9307" w14:paraId="32457867" w14:textId="4E91F08F">
      <w:pPr>
        <w:pStyle w:val="Ttulo1"/>
        <w:rPr>
          <w:rFonts w:ascii="Arial" w:hAnsi="Arial" w:cs="Arial"/>
          <w:color w:val="404040" w:themeColor="text1" w:themeTint="BF" w:themeShade="FF"/>
        </w:rPr>
      </w:pPr>
    </w:p>
    <w:p w:rsidR="3B1B9307" w:rsidP="3B1B9307" w:rsidRDefault="3B1B9307" w14:paraId="7B91A2B8" w14:textId="0C447AB9">
      <w:pPr>
        <w:pStyle w:val="Ttulo1"/>
        <w:rPr>
          <w:rFonts w:ascii="Arial" w:hAnsi="Arial" w:cs="Arial"/>
          <w:color w:val="404040" w:themeColor="text1" w:themeTint="BF" w:themeShade="FF"/>
        </w:rPr>
      </w:pPr>
    </w:p>
    <w:p w:rsidR="3B1B9307" w:rsidP="3B1B9307" w:rsidRDefault="3B1B9307" w14:paraId="0875A917" w14:textId="52A9A994">
      <w:pPr>
        <w:pStyle w:val="Ttulo1"/>
        <w:rPr>
          <w:rFonts w:ascii="Arial" w:hAnsi="Arial" w:cs="Arial"/>
          <w:color w:val="404040" w:themeColor="text1" w:themeTint="BF" w:themeShade="FF"/>
        </w:rPr>
      </w:pPr>
    </w:p>
    <w:p w:rsidR="3B1B9307" w:rsidP="3B1B9307" w:rsidRDefault="3B1B9307" w14:paraId="18C6E644" w14:textId="50B490A4">
      <w:pPr>
        <w:pStyle w:val="Ttulo1"/>
        <w:rPr>
          <w:rFonts w:ascii="Arial" w:hAnsi="Arial" w:cs="Arial"/>
          <w:color w:val="404040" w:themeColor="text1" w:themeTint="BF" w:themeShade="FF"/>
        </w:rPr>
      </w:pPr>
    </w:p>
    <w:p w:rsidR="3B1B9307" w:rsidP="3B1B9307" w:rsidRDefault="3B1B9307" w14:paraId="7C0B5E2B" w14:textId="7DBD6CC3">
      <w:pPr>
        <w:pStyle w:val="Ttulo1"/>
        <w:rPr>
          <w:rFonts w:ascii="Arial" w:hAnsi="Arial" w:cs="Arial"/>
          <w:color w:val="404040" w:themeColor="text1" w:themeTint="BF" w:themeShade="FF"/>
        </w:rPr>
      </w:pPr>
    </w:p>
    <w:p w:rsidRPr="003B431E" w:rsidR="0028109E" w:rsidP="0028109E" w:rsidRDefault="0028109E" w14:paraId="1DF9D813" w14:textId="77777777">
      <w:pPr>
        <w:pStyle w:val="Ttulo1"/>
        <w:rPr>
          <w:rFonts w:ascii="Arial" w:hAnsi="Arial" w:cs="Arial"/>
          <w:color w:val="404040" w:themeColor="text1" w:themeTint="BF"/>
        </w:rPr>
      </w:pPr>
      <w:bookmarkStart w:name="_Toc46485955" w:id="3"/>
      <w:r w:rsidRPr="003B431E">
        <w:rPr>
          <w:rFonts w:ascii="Arial" w:hAnsi="Arial" w:cs="Arial"/>
          <w:color w:val="404040" w:themeColor="text1" w:themeTint="BF"/>
        </w:rPr>
        <w:lastRenderedPageBreak/>
        <w:t>Conclusión</w:t>
      </w:r>
      <w:bookmarkEnd w:id="3"/>
    </w:p>
    <w:p w:rsidR="0028109E" w:rsidP="0028109E" w:rsidRDefault="0028109E" w14:paraId="14E324FA" w14:textId="77777777">
      <w:pPr>
        <w:spacing w:line="360" w:lineRule="auto"/>
        <w:rPr>
          <w:rFonts w:ascii="Arial" w:hAnsi="Arial" w:cs="Arial"/>
          <w:color w:val="575757"/>
          <w:sz w:val="24"/>
          <w:szCs w:val="20"/>
        </w:rPr>
      </w:pPr>
    </w:p>
    <w:p w:rsidR="009A6883" w:rsidP="3B1B9307" w:rsidRDefault="009A6883" w14:paraId="3FC370D7" w14:textId="1AA91335">
      <w:pPr>
        <w:pStyle w:val="Normal"/>
        <w:jc w:val="both"/>
        <w:rPr>
          <w:rFonts w:ascii="Arial" w:hAnsi="Arial" w:eastAsia="Arial" w:cs="Arial"/>
          <w:color w:val="575757"/>
          <w:sz w:val="24"/>
          <w:szCs w:val="24"/>
        </w:rPr>
      </w:pPr>
      <w:r w:rsidRPr="3B1B9307" w:rsidR="53903D56">
        <w:rPr>
          <w:rFonts w:ascii="Arial" w:hAnsi="Arial" w:eastAsia="Arial" w:cs="Arial"/>
          <w:sz w:val="24"/>
          <w:szCs w:val="24"/>
        </w:rPr>
        <w:t>El incidente ocurrido en el centro de datos de AIEP, que resultó en una semana de inactividad en toda la sede, puso de manifiesto la importancia crítica de abordar las deficiencias en la seguridad física y la gestión de riesgos en entornos de centros de datos.</w:t>
      </w:r>
    </w:p>
    <w:p w:rsidR="00735212" w:rsidP="3B1B9307" w:rsidRDefault="00735212" w14:paraId="3F5EA92C" w14:textId="298B4788">
      <w:pPr>
        <w:pStyle w:val="Normal"/>
        <w:rPr>
          <w:rFonts w:ascii="Arial" w:hAnsi="Arial" w:cs="Arial"/>
          <w:color w:val="575757"/>
          <w:sz w:val="24"/>
          <w:szCs w:val="24"/>
        </w:rPr>
      </w:pPr>
    </w:p>
    <w:p w:rsidR="00735212" w:rsidP="00735212" w:rsidRDefault="00735212" w14:paraId="2D8CCB23" w14:textId="77777777"/>
    <w:sectPr w:rsidR="00735212" w:rsidSect="008224BC">
      <w:footerReference w:type="even" r:id="rId8"/>
      <w:footerReference w:type="default" r:id="rId9"/>
      <w:pgSz w:w="12240" w:h="15840" w:orient="portrait"/>
      <w:pgMar w:top="1134" w:right="1467" w:bottom="1276"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6700A" w:rsidP="008224BC" w:rsidRDefault="0056700A" w14:paraId="0394C9CA" w14:textId="77777777">
      <w:pPr>
        <w:spacing w:after="0" w:line="240" w:lineRule="auto"/>
      </w:pPr>
      <w:r>
        <w:separator/>
      </w:r>
    </w:p>
  </w:endnote>
  <w:endnote w:type="continuationSeparator" w:id="0">
    <w:p w:rsidR="0056700A" w:rsidP="008224BC" w:rsidRDefault="0056700A" w14:paraId="7BEA3A6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Futura Md BT">
    <w:altName w:val="Century Gothic"/>
    <w:charset w:val="B1"/>
    <w:family w:val="swiss"/>
    <w:pitch w:val="variable"/>
    <w:sig w:usb0="800008EF" w:usb1="1000204A" w:usb2="00000000" w:usb3="00000000" w:csb0="000001FB"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224BC" w:rsidP="00D12CBE" w:rsidRDefault="008224BC" w14:paraId="221051B7" w14:textId="77777777">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rsidR="008224BC" w:rsidP="008224BC" w:rsidRDefault="008224BC" w14:paraId="671B91F9" w14:textId="7777777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940726269"/>
      <w:docPartObj>
        <w:docPartGallery w:val="Page Numbers (Bottom of Page)"/>
        <w:docPartUnique/>
      </w:docPartObj>
    </w:sdtPr>
    <w:sdtEndPr>
      <w:rPr>
        <w:rStyle w:val="Nmerodepgina"/>
      </w:rPr>
    </w:sdtEndPr>
    <w:sdtContent>
      <w:p w:rsidR="008224BC" w:rsidP="00D12CBE" w:rsidRDefault="008224BC" w14:paraId="71BFD0E9" w14:textId="77777777">
        <w:pPr>
          <w:pStyle w:val="Piedepgina"/>
          <w:framePr w:wrap="none" w:hAnchor="margin" w:vAnchor="text"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rsidR="008224BC" w:rsidP="008224BC" w:rsidRDefault="008224BC" w14:paraId="66BE61F8" w14:textId="7777777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6700A" w:rsidP="008224BC" w:rsidRDefault="0056700A" w14:paraId="7941BB7F" w14:textId="77777777">
      <w:pPr>
        <w:spacing w:after="0" w:line="240" w:lineRule="auto"/>
      </w:pPr>
      <w:r>
        <w:separator/>
      </w:r>
    </w:p>
  </w:footnote>
  <w:footnote w:type="continuationSeparator" w:id="0">
    <w:p w:rsidR="0056700A" w:rsidP="008224BC" w:rsidRDefault="0056700A" w14:paraId="7558B037"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
    <w:nsid w:val="35893c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12"/>
    <w:rsid w:val="000D2EC7"/>
    <w:rsid w:val="000F7D12"/>
    <w:rsid w:val="00131753"/>
    <w:rsid w:val="00222D85"/>
    <w:rsid w:val="0028109E"/>
    <w:rsid w:val="003A5300"/>
    <w:rsid w:val="003B431E"/>
    <w:rsid w:val="003B4EAF"/>
    <w:rsid w:val="0052385C"/>
    <w:rsid w:val="00540A6A"/>
    <w:rsid w:val="005555BA"/>
    <w:rsid w:val="0056700A"/>
    <w:rsid w:val="00735212"/>
    <w:rsid w:val="008224BC"/>
    <w:rsid w:val="008C109C"/>
    <w:rsid w:val="009A6883"/>
    <w:rsid w:val="009B0A7B"/>
    <w:rsid w:val="009E7133"/>
    <w:rsid w:val="00AA4473"/>
    <w:rsid w:val="00B221D9"/>
    <w:rsid w:val="00B87B8A"/>
    <w:rsid w:val="00BB5CC4"/>
    <w:rsid w:val="00C06D15"/>
    <w:rsid w:val="00C2085D"/>
    <w:rsid w:val="00C679C9"/>
    <w:rsid w:val="00DC7594"/>
    <w:rsid w:val="00DF40D6"/>
    <w:rsid w:val="00E06142"/>
    <w:rsid w:val="00EC68A8"/>
    <w:rsid w:val="00F6249A"/>
    <w:rsid w:val="00F74EFC"/>
    <w:rsid w:val="00FB619F"/>
    <w:rsid w:val="00FC2CA8"/>
    <w:rsid w:val="041CCFDA"/>
    <w:rsid w:val="0770C027"/>
    <w:rsid w:val="0AA860E9"/>
    <w:rsid w:val="0EDF72D0"/>
    <w:rsid w:val="0F4E3B7A"/>
    <w:rsid w:val="26B6FE62"/>
    <w:rsid w:val="2C6E5867"/>
    <w:rsid w:val="3B1B9307"/>
    <w:rsid w:val="414E9F08"/>
    <w:rsid w:val="42236D8A"/>
    <w:rsid w:val="4E253585"/>
    <w:rsid w:val="53903D56"/>
    <w:rsid w:val="63A84B1E"/>
    <w:rsid w:val="74AEB97D"/>
    <w:rsid w:val="76322BCA"/>
    <w:rsid w:val="7D22DC9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49ED"/>
  <w15:chartTrackingRefBased/>
  <w15:docId w15:val="{572F0141-1A67-4292-9E95-4EA51352C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E06142"/>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3A5300"/>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UNIDAD" w:customStyle="1">
    <w:name w:val="UNIDAD"/>
    <w:basedOn w:val="Fuentedeprrafopredeter"/>
    <w:uiPriority w:val="1"/>
    <w:rsid w:val="00735212"/>
    <w:rPr>
      <w:rFonts w:ascii="Futura Md BT" w:hAnsi="Futura Md BT"/>
      <w:color w:val="000050"/>
      <w:sz w:val="40"/>
    </w:rPr>
  </w:style>
  <w:style w:type="character" w:styleId="Estilo2" w:customStyle="1">
    <w:name w:val="Estilo2"/>
    <w:basedOn w:val="Fuentedeprrafopredeter"/>
    <w:uiPriority w:val="1"/>
    <w:rsid w:val="00735212"/>
    <w:rPr>
      <w:rFonts w:ascii="Futura Md BT" w:hAnsi="Futura Md BT"/>
      <w:color w:val="000050"/>
    </w:rPr>
  </w:style>
  <w:style w:type="table" w:styleId="Tablaconcuadrcula">
    <w:name w:val="Table Grid"/>
    <w:basedOn w:val="Tablanormal"/>
    <w:uiPriority w:val="39"/>
    <w:rsid w:val="00C2085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tulo1Car" w:customStyle="1">
    <w:name w:val="Título 1 Car"/>
    <w:basedOn w:val="Fuentedeprrafopredeter"/>
    <w:link w:val="Ttulo1"/>
    <w:uiPriority w:val="9"/>
    <w:rsid w:val="00E06142"/>
    <w:rPr>
      <w:rFonts w:asciiTheme="majorHAnsi" w:hAnsiTheme="majorHAnsi" w:eastAsiaTheme="majorEastAsia" w:cstheme="majorBidi"/>
      <w:color w:val="2E74B5" w:themeColor="accent1" w:themeShade="BF"/>
      <w:sz w:val="32"/>
      <w:szCs w:val="32"/>
    </w:rPr>
  </w:style>
  <w:style w:type="paragraph" w:styleId="TtuloTDC">
    <w:name w:val="TOC Heading"/>
    <w:basedOn w:val="Ttulo1"/>
    <w:next w:val="Normal"/>
    <w:uiPriority w:val="39"/>
    <w:unhideWhenUsed/>
    <w:qFormat/>
    <w:rsid w:val="009B0A7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9B0A7B"/>
    <w:pPr>
      <w:spacing w:before="120" w:after="0"/>
    </w:pPr>
    <w:rPr>
      <w:rFonts w:cstheme="minorHAnsi"/>
      <w:b/>
      <w:bCs/>
      <w:i/>
      <w:iCs/>
      <w:sz w:val="24"/>
      <w:szCs w:val="24"/>
    </w:rPr>
  </w:style>
  <w:style w:type="character" w:styleId="Hipervnculo">
    <w:name w:val="Hyperlink"/>
    <w:basedOn w:val="Fuentedeprrafopredeter"/>
    <w:uiPriority w:val="99"/>
    <w:unhideWhenUsed/>
    <w:rsid w:val="009B0A7B"/>
    <w:rPr>
      <w:color w:val="0563C1" w:themeColor="hyperlink"/>
      <w:u w:val="single"/>
    </w:rPr>
  </w:style>
  <w:style w:type="paragraph" w:styleId="TDC2">
    <w:name w:val="toc 2"/>
    <w:basedOn w:val="Normal"/>
    <w:next w:val="Normal"/>
    <w:autoRedefine/>
    <w:uiPriority w:val="39"/>
    <w:semiHidden/>
    <w:unhideWhenUsed/>
    <w:rsid w:val="009B0A7B"/>
    <w:pPr>
      <w:spacing w:before="120" w:after="0"/>
      <w:ind w:left="220"/>
    </w:pPr>
    <w:rPr>
      <w:rFonts w:cstheme="minorHAnsi"/>
      <w:b/>
      <w:bCs/>
    </w:rPr>
  </w:style>
  <w:style w:type="paragraph" w:styleId="TDC3">
    <w:name w:val="toc 3"/>
    <w:basedOn w:val="Normal"/>
    <w:next w:val="Normal"/>
    <w:autoRedefine/>
    <w:uiPriority w:val="39"/>
    <w:semiHidden/>
    <w:unhideWhenUsed/>
    <w:rsid w:val="009B0A7B"/>
    <w:pPr>
      <w:spacing w:after="0"/>
      <w:ind w:left="440"/>
    </w:pPr>
    <w:rPr>
      <w:rFonts w:cstheme="minorHAnsi"/>
      <w:sz w:val="20"/>
      <w:szCs w:val="20"/>
    </w:rPr>
  </w:style>
  <w:style w:type="paragraph" w:styleId="TDC4">
    <w:name w:val="toc 4"/>
    <w:basedOn w:val="Normal"/>
    <w:next w:val="Normal"/>
    <w:autoRedefine/>
    <w:uiPriority w:val="39"/>
    <w:semiHidden/>
    <w:unhideWhenUsed/>
    <w:rsid w:val="009B0A7B"/>
    <w:pPr>
      <w:spacing w:after="0"/>
      <w:ind w:left="660"/>
    </w:pPr>
    <w:rPr>
      <w:rFonts w:cstheme="minorHAnsi"/>
      <w:sz w:val="20"/>
      <w:szCs w:val="20"/>
    </w:rPr>
  </w:style>
  <w:style w:type="paragraph" w:styleId="TDC5">
    <w:name w:val="toc 5"/>
    <w:basedOn w:val="Normal"/>
    <w:next w:val="Normal"/>
    <w:autoRedefine/>
    <w:uiPriority w:val="39"/>
    <w:semiHidden/>
    <w:unhideWhenUsed/>
    <w:rsid w:val="009B0A7B"/>
    <w:pPr>
      <w:spacing w:after="0"/>
      <w:ind w:left="880"/>
    </w:pPr>
    <w:rPr>
      <w:rFonts w:cstheme="minorHAnsi"/>
      <w:sz w:val="20"/>
      <w:szCs w:val="20"/>
    </w:rPr>
  </w:style>
  <w:style w:type="paragraph" w:styleId="TDC6">
    <w:name w:val="toc 6"/>
    <w:basedOn w:val="Normal"/>
    <w:next w:val="Normal"/>
    <w:autoRedefine/>
    <w:uiPriority w:val="39"/>
    <w:semiHidden/>
    <w:unhideWhenUsed/>
    <w:rsid w:val="009B0A7B"/>
    <w:pPr>
      <w:spacing w:after="0"/>
      <w:ind w:left="1100"/>
    </w:pPr>
    <w:rPr>
      <w:rFonts w:cstheme="minorHAnsi"/>
      <w:sz w:val="20"/>
      <w:szCs w:val="20"/>
    </w:rPr>
  </w:style>
  <w:style w:type="paragraph" w:styleId="TDC7">
    <w:name w:val="toc 7"/>
    <w:basedOn w:val="Normal"/>
    <w:next w:val="Normal"/>
    <w:autoRedefine/>
    <w:uiPriority w:val="39"/>
    <w:semiHidden/>
    <w:unhideWhenUsed/>
    <w:rsid w:val="009B0A7B"/>
    <w:pPr>
      <w:spacing w:after="0"/>
      <w:ind w:left="1320"/>
    </w:pPr>
    <w:rPr>
      <w:rFonts w:cstheme="minorHAnsi"/>
      <w:sz w:val="20"/>
      <w:szCs w:val="20"/>
    </w:rPr>
  </w:style>
  <w:style w:type="paragraph" w:styleId="TDC8">
    <w:name w:val="toc 8"/>
    <w:basedOn w:val="Normal"/>
    <w:next w:val="Normal"/>
    <w:autoRedefine/>
    <w:uiPriority w:val="39"/>
    <w:semiHidden/>
    <w:unhideWhenUsed/>
    <w:rsid w:val="009B0A7B"/>
    <w:pPr>
      <w:spacing w:after="0"/>
      <w:ind w:left="1540"/>
    </w:pPr>
    <w:rPr>
      <w:rFonts w:cstheme="minorHAnsi"/>
      <w:sz w:val="20"/>
      <w:szCs w:val="20"/>
    </w:rPr>
  </w:style>
  <w:style w:type="paragraph" w:styleId="TDC9">
    <w:name w:val="toc 9"/>
    <w:basedOn w:val="Normal"/>
    <w:next w:val="Normal"/>
    <w:autoRedefine/>
    <w:uiPriority w:val="39"/>
    <w:semiHidden/>
    <w:unhideWhenUsed/>
    <w:rsid w:val="009B0A7B"/>
    <w:pPr>
      <w:spacing w:after="0"/>
      <w:ind w:left="1760"/>
    </w:pPr>
    <w:rPr>
      <w:rFonts w:cstheme="minorHAnsi"/>
      <w:sz w:val="20"/>
      <w:szCs w:val="20"/>
    </w:rPr>
  </w:style>
  <w:style w:type="paragraph" w:styleId="Piedepgina">
    <w:name w:val="footer"/>
    <w:basedOn w:val="Normal"/>
    <w:link w:val="PiedepginaCar"/>
    <w:uiPriority w:val="99"/>
    <w:unhideWhenUsed/>
    <w:rsid w:val="008224B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224BC"/>
  </w:style>
  <w:style w:type="character" w:styleId="Nmerodepgina">
    <w:name w:val="page number"/>
    <w:basedOn w:val="Fuentedeprrafopredeter"/>
    <w:uiPriority w:val="99"/>
    <w:semiHidden/>
    <w:unhideWhenUsed/>
    <w:rsid w:val="008224BC"/>
  </w:style>
  <w:style w:type="character" w:styleId="Ttulo3Car" w:customStyle="1">
    <w:name w:val="Título 3 Car"/>
    <w:basedOn w:val="Fuentedeprrafopredeter"/>
    <w:link w:val="Ttulo3"/>
    <w:uiPriority w:val="9"/>
    <w:semiHidden/>
    <w:rsid w:val="003A5300"/>
    <w:rPr>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 Type="http://schemas.openxmlformats.org/officeDocument/2006/relationships/glossaryDocument" Target="glossary/document.xml" Id="R816f17afbf60427f" /><Relationship Type="http://schemas.openxmlformats.org/officeDocument/2006/relationships/numbering" Target="numbering.xml" Id="R13bdcf250910486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e98f7c7-51c9-41dc-9099-afca2d30de5e}"/>
      </w:docPartPr>
      <w:docPartBody>
        <w:p w14:paraId="714EC9DD">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D4AF2-8696-7443-A6AF-2B1513EE6C5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dc:creator>
  <keywords/>
  <dc:description/>
  <lastModifiedBy>JONATHAN JOEL SALINAS SANTIBANEZ</lastModifiedBy>
  <revision>9</revision>
  <dcterms:created xsi:type="dcterms:W3CDTF">2020-11-09T16:27:00.0000000Z</dcterms:created>
  <dcterms:modified xsi:type="dcterms:W3CDTF">2023-09-08T01:06:24.5897101Z</dcterms:modified>
</coreProperties>
</file>