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 w:line="300" w:lineRule="auto"/>
        <w:jc w:val="left"/>
      </w:pPr>
      <w:r>
        <w:rPr>
          <w:rFonts w:ascii="Noto Sans" w:hAnsi="Noto Sans"/>
          <w:b/>
          <w:color w:val="087F5B"/>
          <w:sz w:val="21"/>
        </w:rPr>
        <w:t>ATENZA FIELDOPS</w:t>
      </w:r>
    </w:p>
    <w:p>
      <w:pPr>
        <w:spacing w:before="0" w:after="60" w:line="300" w:lineRule="auto"/>
        <w:jc w:val="left"/>
      </w:pPr>
      <w:r>
        <w:rPr>
          <w:rFonts w:ascii="Noto Sans" w:hAnsi="Noto Sans"/>
          <w:b/>
          <w:color w:val="102A43"/>
          <w:sz w:val="48"/>
        </w:rPr>
        <w:t>Roteiro de validação visual</w:t>
      </w:r>
    </w:p>
    <w:p>
      <w:pPr>
        <w:spacing w:before="0" w:after="240" w:line="300" w:lineRule="auto"/>
        <w:jc w:val="left"/>
      </w:pPr>
      <w:r>
        <w:rPr>
          <w:rFonts w:ascii="Noto Sans" w:hAnsi="Noto Sans"/>
          <w:b w:val="0"/>
          <w:color w:val="52606D"/>
          <w:sz w:val="21"/>
        </w:rPr>
        <w:t>Propostas, minutas e contratos | Homologação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AF7F2"/>
          </w:tcPr>
          <w:p>
            <w:pPr>
              <w:spacing w:before="0" w:after="60" w:line="300" w:lineRule="auto"/>
              <w:jc w:val="left"/>
            </w:pPr>
            <w:r>
              <w:rPr>
                <w:rFonts w:ascii="Noto Sans" w:hAnsi="Noto Sans"/>
                <w:b/>
                <w:color w:val="087F5B"/>
                <w:sz w:val="21"/>
              </w:rPr>
              <w:t>Objetivo do teste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Noto Sans" w:hAnsi="Noto Sans"/>
                <w:b w:val="0"/>
                <w:color w:val="1B263B"/>
                <w:sz w:val="20"/>
              </w:rPr>
              <w:t>Validar se o fluxo Comercial está claro e se os documentos gerados estão corretos, legíveis, sem cortes e prontos para a próxima etapa operacional.</w:t>
            </w:r>
          </w:p>
        </w:tc>
      </w:tr>
    </w:tbl>
    <w:p/>
    <w:p>
      <w:pPr>
        <w:spacing w:before="360" w:after="200" w:line="300" w:lineRule="auto"/>
        <w:jc w:val="left"/>
      </w:pPr>
      <w:r>
        <w:rPr>
          <w:rFonts w:ascii="Noto Sans" w:hAnsi="Noto Sans"/>
          <w:b/>
          <w:color w:val="087F5B"/>
          <w:sz w:val="32"/>
        </w:rPr>
        <w:t>1. Acesso e regras</w:t>
      </w:r>
    </w:p>
    <w:p>
      <w:pPr>
        <w:spacing w:before="0" w:after="120" w:line="300" w:lineRule="auto"/>
        <w:jc w:val="left"/>
      </w:pPr>
      <w:r>
        <w:rPr>
          <w:rFonts w:ascii="Noto Sans" w:hAnsi="Noto Sans"/>
          <w:b/>
          <w:color w:val="1B263B"/>
          <w:sz w:val="21"/>
        </w:rPr>
        <w:t>URL oficial de homologação: https://fieldops-homologacao.atenza.digital/login</w:t>
      </w:r>
    </w:p>
    <w:p>
      <w:pPr>
        <w:spacing w:before="0" w:after="12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Versão esperada: 0.6.3</w:t>
      </w:r>
    </w:p>
    <w:p>
      <w:pPr>
        <w:spacing w:before="0" w:after="12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Regra visual: Nortica é exclusiva da interface; os documentos gerados devem usar Noto Sans incorporada. Neue Ultra aparece somente na marca Atenza FieldOps.</w:t>
      </w:r>
    </w:p>
    <w:p>
      <w:pPr>
        <w:spacing w:before="0" w:after="12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Use as contas de homologação informadas em ACESSOS_HOMOLOGACAO.md. As senhas devem ser compartilhadas separadamente por canal seguro e não devem ser registradas neste documento.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Testar somente na homologação; não usar dados de produção.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Registrar prints, número do documento e passo do roteiro para qualquer divergência.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O favicon e a tela de login usam a identidade Atenza FieldOps; a logo do cliente aparece após o login e nos documentos do tenant.</w:t>
      </w:r>
    </w:p>
    <w:p>
      <w:pPr>
        <w:spacing w:before="360" w:after="200" w:line="300" w:lineRule="auto"/>
        <w:jc w:val="left"/>
      </w:pPr>
      <w:r>
        <w:rPr>
          <w:rFonts w:ascii="Noto Sans" w:hAnsi="Noto Sans"/>
          <w:b/>
          <w:color w:val="087F5B"/>
          <w:sz w:val="32"/>
        </w:rPr>
        <w:t>2. Etapa anterior: Propostas</w:t>
      </w:r>
    </w:p>
    <w:p>
      <w:pPr>
        <w:spacing w:before="280" w:after="140" w:line="300" w:lineRule="auto"/>
        <w:jc w:val="left"/>
      </w:pPr>
      <w:r>
        <w:rPr>
          <w:rFonts w:ascii="Noto Sans" w:hAnsi="Noto Sans"/>
          <w:b/>
          <w:color w:val="0B5E4A"/>
          <w:sz w:val="26"/>
        </w:rPr>
        <w:t>2.1 Execução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Entrar com o perfil Comercial.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Abrir Comercial &gt; Contratos e Propostas.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Localizar a proposta de homologação da Komatsu/Ciperprag.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Conferir número, cliente, status, validade e valor na listagem.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Acionar a impressão da proposta e revisar todas as páginas.</w:t>
      </w:r>
    </w:p>
    <w:p>
      <w:pPr>
        <w:spacing w:before="280" w:after="140" w:line="300" w:lineRule="auto"/>
        <w:jc w:val="left"/>
      </w:pPr>
      <w:r>
        <w:rPr>
          <w:rFonts w:ascii="Noto Sans" w:hAnsi="Noto Sans"/>
          <w:b/>
          <w:color w:val="0B5E4A"/>
          <w:sz w:val="26"/>
        </w:rPr>
        <w:t>2.2 Resultado esperado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Logo, razão social, CNPJ, endereço, telefone e e-mail corretos.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Cliente, CNPJ, endereço e município corretos.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Número e data em formato brasileiro.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Serviços, unidades, quantidades, valores unitários e totais corretos.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Validade, vigência e condições comerciais coerentes.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Acentuação correta, sem caracteres estranhos ou texto com ???.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Nenhum texto ultrapassando tabela ou margem.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Assinaturas, rodapé e paginação visíveis.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Nenhuma página vazia ou quase vazia sem justificativa.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Fonte documental Noto Sans, com acentuação legível e sem depender de fonte instalada no computador.</w:t>
      </w:r>
    </w:p>
    <w:p>
      <w:pPr>
        <w:spacing w:before="80" w:after="40" w:line="30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75019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posta-atu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75019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140" w:line="300" w:lineRule="auto"/>
        <w:jc w:val="center"/>
      </w:pPr>
      <w:r>
        <w:rPr>
          <w:rFonts w:ascii="Noto Sans" w:hAnsi="Noto Sans"/>
          <w:b w:val="0"/>
          <w:color w:val="667085"/>
          <w:sz w:val="17"/>
        </w:rPr>
        <w:t>Referência de documento: proposta gerada para comparação visual.</w:t>
      </w:r>
    </w:p>
    <w:p>
      <w:pPr>
        <w:spacing w:before="360" w:after="200" w:line="300" w:lineRule="auto"/>
        <w:jc w:val="left"/>
      </w:pPr>
      <w:r>
        <w:rPr>
          <w:rFonts w:ascii="Noto Sans" w:hAnsi="Noto Sans"/>
          <w:b/>
          <w:color w:val="087F5B"/>
          <w:sz w:val="32"/>
        </w:rPr>
        <w:t>3. Etapa atual: Minuta do cliente</w:t>
      </w:r>
    </w:p>
    <w:p>
      <w:pPr>
        <w:spacing w:before="280" w:after="140" w:line="300" w:lineRule="auto"/>
        <w:jc w:val="left"/>
      </w:pPr>
      <w:r>
        <w:rPr>
          <w:rFonts w:ascii="Noto Sans" w:hAnsi="Noto Sans"/>
          <w:b/>
          <w:color w:val="0B5E4A"/>
          <w:sz w:val="26"/>
        </w:rPr>
        <w:t>3.1 Execução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Voltar para Comercial &gt; Contratos e Propostas.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Clicar em Minuta do cliente.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Selecionar Minuta / modelo do cliente.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Preencher cliente e dados básicos.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Anexar minuta em PDF, DOC, DOCX, ODT, PNG ou JPG, com até 8 MB.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Salvar e confirmar a mensagem de sucesso.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Abrir Auditoria de anexos e conferir arquivo, usuário, data, tamanho e hash.</w:t>
      </w:r>
    </w:p>
    <w:p>
      <w:pPr>
        <w:spacing w:before="280" w:after="140" w:line="300" w:lineRule="auto"/>
        <w:jc w:val="left"/>
      </w:pPr>
      <w:r>
        <w:rPr>
          <w:rFonts w:ascii="Noto Sans" w:hAnsi="Noto Sans"/>
          <w:b/>
          <w:color w:val="0B5E4A"/>
          <w:sz w:val="26"/>
        </w:rPr>
        <w:t>3.2 Resultado esperado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 listagem identifica o documento como Minuta.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O arquivo original fica vinculado ao tenant correto.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O sistema registra o hash SHA-256 e mantém o anexo imutável.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O download do anexo exige autenticação.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 ação de upload aparece na auditoria.</w:t>
      </w:r>
    </w:p>
    <w:p>
      <w:pPr>
        <w:spacing w:before="360" w:after="200" w:line="300" w:lineRule="auto"/>
        <w:jc w:val="left"/>
      </w:pPr>
      <w:r>
        <w:rPr>
          <w:rFonts w:ascii="Noto Sans" w:hAnsi="Noto Sans"/>
          <w:b/>
          <w:color w:val="087F5B"/>
          <w:sz w:val="32"/>
        </w:rPr>
        <w:t>4. Conversão da minuta em contrato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Editar a minuta e alterar o status para Aprovado.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Salvar a alteração.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Clicar em Gerar contrato.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Conferir a nova numeração automática.</w:t>
      </w:r>
    </w:p>
    <w:p>
      <w:pPr>
        <w:pStyle w:val="ListNumber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Imprimir o contrato gerado.</w:t>
      </w:r>
    </w:p>
    <w:p>
      <w:pPr>
        <w:spacing w:before="280" w:after="140" w:line="300" w:lineRule="auto"/>
        <w:jc w:val="left"/>
      </w:pPr>
      <w:r>
        <w:rPr>
          <w:rFonts w:ascii="Noto Sans" w:hAnsi="Noto Sans"/>
          <w:b/>
          <w:color w:val="0B5E4A"/>
          <w:sz w:val="26"/>
        </w:rPr>
        <w:t>4.1 Resultado esperado do contrato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Cabeçalho e identidade institucional corretos.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Contratada e contratante corretamente identificadas.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Vigência, pagamento e periodicidade corretos.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Serviços vindos do cadastro de produtos/serviços.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Quantidades, frequências, valores e total sem divergência.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Cláusulas organizadas e legíveis.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Assinaturas posicionadas na parte inferior.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Nenhum texto ultrapassando tabelas ou margens.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Documento adequado para uma ou mais páginas, sem cortes.</w:t>
      </w:r>
    </w:p>
    <w:p>
      <w:pPr>
        <w:spacing w:before="360" w:after="200" w:line="300" w:lineRule="auto"/>
        <w:jc w:val="left"/>
      </w:pPr>
      <w:r>
        <w:rPr>
          <w:rFonts w:ascii="Noto Sans" w:hAnsi="Noto Sans"/>
          <w:b/>
          <w:color w:val="087F5B"/>
          <w:sz w:val="32"/>
        </w:rPr>
        <w:t>5. Registro de divergências</w:t>
      </w:r>
    </w:p>
    <w:p>
      <w:pPr>
        <w:spacing w:before="0" w:after="12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Para cada problema encontrado, preencher o modelo abaixo e anexar um print. Não enviar a divergência somente no grupo de WhatsApp; o documento é o registro oficial para triagem e acompanhamento.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2700"/>
        <w:gridCol w:w="6660"/>
      </w:tblGrid>
      <w:t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Campo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Preenchimento</w:t>
            </w:r>
          </w:p>
        </w:tc>
      </w:tr>
      <w:tr>
        <w:tc>
          <w:tcPr>
            <w:tcW w:type="dxa" w:w="2700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Tela/documento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 w:val="0"/>
                <w:color w:val="1B263B"/>
                <w:sz w:val="19"/>
              </w:rPr>
            </w:r>
          </w:p>
        </w:tc>
      </w:tr>
      <w:tr>
        <w:tc>
          <w:tcPr>
            <w:tcW w:type="dxa" w:w="2700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Cenário testado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 w:val="0"/>
                <w:color w:val="1B263B"/>
                <w:sz w:val="19"/>
              </w:rPr>
            </w:r>
          </w:p>
        </w:tc>
      </w:tr>
      <w:tr>
        <w:tc>
          <w:tcPr>
            <w:tcW w:type="dxa" w:w="2700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Resultado esperado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 w:val="0"/>
                <w:color w:val="1B263B"/>
                <w:sz w:val="19"/>
              </w:rPr>
            </w:r>
          </w:p>
        </w:tc>
      </w:tr>
      <w:tr>
        <w:tc>
          <w:tcPr>
            <w:tcW w:type="dxa" w:w="2700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Resultado encontrado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 w:val="0"/>
                <w:color w:val="1B263B"/>
                <w:sz w:val="19"/>
              </w:rPr>
            </w:r>
          </w:p>
        </w:tc>
      </w:tr>
      <w:tr>
        <w:tc>
          <w:tcPr>
            <w:tcW w:type="dxa" w:w="2700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Gravidade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 w:val="0"/>
                <w:color w:val="1B263B"/>
                <w:sz w:val="19"/>
              </w:rPr>
              <w:t>Bloqueador / Alta / Média / Baixa</w:t>
            </w:r>
          </w:p>
        </w:tc>
      </w:tr>
      <w:tr>
        <w:tc>
          <w:tcPr>
            <w:tcW w:type="dxa" w:w="2700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Navegador e resolução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 w:val="0"/>
                <w:color w:val="1B263B"/>
                <w:sz w:val="19"/>
              </w:rPr>
            </w:r>
          </w:p>
        </w:tc>
      </w:tr>
      <w:tr>
        <w:tc>
          <w:tcPr>
            <w:tcW w:type="dxa" w:w="2700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Número do documento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 w:val="0"/>
                <w:color w:val="1B263B"/>
                <w:sz w:val="19"/>
              </w:rPr>
            </w:r>
          </w:p>
        </w:tc>
      </w:tr>
      <w:tr>
        <w:tc>
          <w:tcPr>
            <w:tcW w:type="dxa" w:w="2700"/>
            <w:shd w:fill="E8F3EF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/>
                <w:color w:val="1B263B"/>
                <w:sz w:val="19"/>
              </w:rPr>
              <w:t>Print ou vídeo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Noto Sans" w:hAnsi="Noto Sans"/>
                <w:b w:val="0"/>
                <w:color w:val="1B263B"/>
                <w:sz w:val="19"/>
              </w:rPr>
              <w:t>Anexar ao documento</w:t>
            </w:r>
          </w:p>
        </w:tc>
      </w:tr>
    </w:tbl>
    <w:p>
      <w:pPr>
        <w:spacing w:before="360" w:after="200" w:line="300" w:lineRule="auto"/>
        <w:jc w:val="left"/>
      </w:pPr>
      <w:r>
        <w:rPr>
          <w:rFonts w:ascii="Noto Sans" w:hAnsi="Noto Sans"/>
          <w:b/>
          <w:color w:val="087F5B"/>
          <w:sz w:val="32"/>
        </w:rPr>
        <w:t>6. O que deve ser reportado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Texto ultrapassando tabela ou margem.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Logo, CNPJ, endereço ou e-mail incorretos.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Data, moeda ou acentuação incorretas.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Serviço diferente do cadastro.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Valor, quantidade ou total divergente.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Assinatura cortada ou deslocada.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Página em branco ou quase vazia.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Botão sem resposta ou tela que não atualiza.</w:t>
      </w:r>
    </w:p>
    <w:p>
      <w:pPr>
        <w:pStyle w:val="ListBullet"/>
        <w:spacing w:before="0" w:after="8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Minuta salva sem anexo, hash ou auditoria.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7E6"/>
          </w:tcPr>
          <w:p>
            <w:pPr>
              <w:spacing w:before="0" w:after="60" w:line="300" w:lineRule="auto"/>
              <w:jc w:val="left"/>
            </w:pPr>
            <w:r>
              <w:rPr>
                <w:rFonts w:ascii="Noto Sans" w:hAnsi="Noto Sans"/>
                <w:b/>
                <w:color w:val="087F5B"/>
                <w:sz w:val="21"/>
              </w:rPr>
              <w:t>Critério para aprovação</w:t>
            </w:r>
          </w:p>
          <w:p>
            <w:pPr>
              <w:spacing w:before="0" w:after="40" w:line="300" w:lineRule="auto"/>
              <w:jc w:val="left"/>
            </w:pPr>
            <w:r>
              <w:rPr>
                <w:rFonts w:ascii="Noto Sans" w:hAnsi="Noto Sans"/>
                <w:b w:val="0"/>
                <w:color w:val="1B263B"/>
                <w:sz w:val="20"/>
              </w:rPr>
              <w:t>A etapa será considerada aprovada quando proposta, minuta e contrato puderem ser usados sem interpretação adicional, com dados corretos, layout legível, acentuação adequada e fluxo claro para o usuário Comercial.</w:t>
            </w:r>
          </w:p>
        </w:tc>
      </w:tr>
    </w:tbl>
    <w:p/>
    <w:p>
      <w:pPr>
        <w:spacing w:before="360" w:after="200" w:line="300" w:lineRule="auto"/>
        <w:jc w:val="left"/>
      </w:pPr>
      <w:r>
        <w:rPr>
          <w:rFonts w:ascii="Noto Sans" w:hAnsi="Noto Sans"/>
          <w:b/>
          <w:color w:val="087F5B"/>
          <w:sz w:val="32"/>
        </w:rPr>
        <w:t>7. Encerramento</w:t>
      </w:r>
    </w:p>
    <w:p>
      <w:pPr>
        <w:spacing w:before="0" w:after="120" w:line="300" w:lineRule="auto"/>
        <w:jc w:val="left"/>
      </w:pPr>
      <w:r>
        <w:rPr>
          <w:rFonts w:ascii="Noto Sans" w:hAnsi="Noto Sans"/>
          <w:b w:val="0"/>
          <w:color w:val="1B263B"/>
          <w:sz w:val="21"/>
        </w:rPr>
        <w:t>Ao finalizar, enviar o documento preenchido e os prints para a Atenza. O fluxo de Agendamento, Ordem de Serviço, Certificado e Medição será validado nas etapas seguintes, após a aprovação desta rodada Comercial.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300" w:lineRule="auto"/>
      <w:jc w:val="center"/>
    </w:pPr>
    <w:r>
      <w:rPr>
        <w:rFonts w:ascii="Noto Sans" w:hAnsi="Noto Sans"/>
        <w:b w:val="0"/>
        <w:color w:val="667085"/>
        <w:sz w:val="16"/>
      </w:rPr>
      <w:t>Documento de apoio para validação comercial  |  Versão 0.6.3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40" w:line="300" w:lineRule="auto"/>
      <w:jc w:val="right"/>
    </w:pPr>
    <w:r>
      <w:rPr>
        <w:rFonts w:ascii="Noto Sans" w:hAnsi="Noto Sans"/>
        <w:b/>
        <w:color w:val="087F5B"/>
        <w:sz w:val="16"/>
      </w:rPr>
      <w:t>ATENZA FIELDOPS  |  HOMOLOGAÇÃO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" w:hAnsi="Noto San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