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9" w:lineRule="auto"/>
        <w:ind w:firstLine="0"/>
        <w:jc w:val="left"/>
      </w:pPr>
      <w:r>
        <w:rPr>
          <w:rFonts w:ascii="Arial" w:hAnsi="Arial" w:eastAsia="Arial"/>
          <w:b/>
          <w:color w:val="087F5B"/>
          <w:sz w:val="18"/>
        </w:rPr>
        <w:t>DOCUMENTO DE HOMOLOGAÇÃO</w:t>
      </w:r>
    </w:p>
    <w:p>
      <w:pPr>
        <w:keepNext/>
        <w:spacing w:before="260" w:after="100"/>
        <w:jc w:val="left"/>
      </w:pPr>
      <w:r>
        <w:rPr>
          <w:rFonts w:ascii="Arial" w:hAnsi="Arial" w:eastAsia="Arial"/>
          <w:b/>
          <w:color w:val="142235"/>
          <w:sz w:val="36"/>
        </w:rPr>
        <w:t>Roteiro de Revalidação do Atenza FieldOps</w:t>
      </w:r>
    </w:p>
    <w:p>
      <w:pPr>
        <w:spacing w:after="200" w:line="259" w:lineRule="auto"/>
        <w:ind w:firstLine="0"/>
        <w:jc w:val="left"/>
      </w:pPr>
      <w:r>
        <w:rPr>
          <w:rFonts w:ascii="Arial" w:hAnsi="Arial" w:eastAsia="Arial"/>
          <w:b w:val="0"/>
          <w:color w:val="5B6878"/>
          <w:sz w:val="22"/>
        </w:rPr>
        <w:t>Rodada dirigida após os ajustes apontados no roteiro de testes do Tarcísio</w:t>
      </w:r>
    </w:p>
    <w:p>
      <w:pPr>
        <w:spacing w:after="120" w:line="259" w:lineRule="auto"/>
        <w:ind w:firstLine="397"/>
        <w:jc w:val="left"/>
      </w:pPr>
      <w:r>
        <w:rPr>
          <w:rFonts w:ascii="Arial" w:hAnsi="Arial" w:eastAsia="Arial"/>
          <w:b w:val="0"/>
          <w:color w:val="142235"/>
          <w:sz w:val="19"/>
        </w:rPr>
        <w:t>Objetivo: confirmar somente as correções publicadas na homologação, sem repetir toda a matriz já aprovada. Registre cada resultado neste arquivo e devolva o DOCX preenchido à Atenza.</w:t>
      </w:r>
    </w:p>
    <w:p>
      <w:pPr>
        <w:keepNext/>
        <w:spacing w:before="160" w:after="100"/>
        <w:jc w:val="left"/>
      </w:pPr>
      <w:r>
        <w:rPr>
          <w:rFonts w:ascii="Arial" w:hAnsi="Arial" w:eastAsia="Arial"/>
          <w:b/>
          <w:color w:val="087F5B"/>
          <w:sz w:val="26"/>
        </w:rPr>
        <w:t>1. Acesso e 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803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Informação</w:t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URL</w:t>
            </w:r>
          </w:p>
        </w:tc>
        <w:tc>
          <w:tcPr>
            <w:tcW w:type="dxa" w:w="680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https://fieldops-homologacao.atenza.digital/login</w:t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Ambiente</w:t>
            </w:r>
          </w:p>
        </w:tc>
        <w:tc>
          <w:tcPr>
            <w:tcW w:type="dxa" w:w="680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Homologação — uso exclusivo para testes</w:t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Versão exibida</w:t>
            </w:r>
          </w:p>
        </w:tc>
        <w:tc>
          <w:tcPr>
            <w:tcW w:type="dxa" w:w="680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0.6.3</w:t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Deploy validado</w:t>
            </w:r>
          </w:p>
        </w:tc>
        <w:tc>
          <w:tcPr>
            <w:tcW w:type="dxa" w:w="680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Commit 2c887c3 • workflow CI/CD 29842924268</w:t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Perfil recomendado</w:t>
            </w:r>
          </w:p>
        </w:tc>
        <w:tc>
          <w:tcPr>
            <w:tcW w:type="dxa" w:w="680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Usar o mesmo perfil do caso testado no roteiro v1.4</w:t>
            </w:r>
          </w:p>
        </w:tc>
      </w:tr>
      <w:tr>
        <w:tc>
          <w:tcPr>
            <w:tcW w:type="dxa" w:w="22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Senha</w:t>
            </w:r>
          </w:p>
        </w:tc>
        <w:tc>
          <w:tcPr>
            <w:tcW w:type="dxa" w:w="680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Usar a senha temporária enviada pelo canal seguro. Não registrar no documento.</w:t>
            </w:r>
          </w:p>
        </w:tc>
      </w:tr>
    </w:tbl>
    <w:p>
      <w:pPr>
        <w:spacing w:after="40" w:line="259" w:lineRule="auto"/>
        <w:ind w:firstLine="0"/>
        <w:jc w:val="left"/>
      </w:pPr>
    </w:p>
    <w:p>
      <w:pPr>
        <w:spacing w:after="120" w:line="259" w:lineRule="auto"/>
        <w:ind w:firstLine="397"/>
        <w:jc w:val="left"/>
      </w:pPr>
      <w:r>
        <w:rPr>
          <w:rFonts w:ascii="Arial" w:hAnsi="Arial" w:eastAsia="Arial"/>
          <w:b/>
          <w:color w:val="087F5B"/>
          <w:sz w:val="19"/>
        </w:rPr>
        <w:t>Antes de iniciar, confirme que o endereço é exatamente o domínio HTTPS acima. Não use o IP antigo nem a porta local.</w:t>
      </w:r>
    </w:p>
    <w:p>
      <w:pPr>
        <w:keepNext/>
        <w:spacing w:before="160" w:after="100"/>
        <w:jc w:val="left"/>
      </w:pPr>
      <w:r>
        <w:rPr>
          <w:rFonts w:ascii="Arial" w:hAnsi="Arial" w:eastAsia="Arial"/>
          <w:b/>
          <w:color w:val="087F5B"/>
          <w:sz w:val="26"/>
        </w:rPr>
        <w:t>2. Como registrar o resultado</w:t>
      </w:r>
    </w:p>
    <w:p>
      <w:pPr>
        <w:pStyle w:val="ListBullet"/>
        <w:spacing w:after="60"/>
        <w:ind w:left="312" w:hanging="142"/>
        <w:jc w:val="left"/>
      </w:pPr>
      <w:r>
        <w:rPr>
          <w:rFonts w:ascii="Arial" w:hAnsi="Arial" w:eastAsia="Arial"/>
          <w:b w:val="0"/>
          <w:color w:val="142235"/>
          <w:sz w:val="19"/>
        </w:rPr>
        <w:t>Aprovado: o comportamento corresponde ao resultado esperado.</w:t>
      </w:r>
    </w:p>
    <w:p>
      <w:pPr>
        <w:pStyle w:val="ListBullet"/>
        <w:spacing w:after="60"/>
        <w:ind w:left="312" w:hanging="142"/>
        <w:jc w:val="left"/>
      </w:pPr>
      <w:r>
        <w:rPr>
          <w:rFonts w:ascii="Arial" w:hAnsi="Arial" w:eastAsia="Arial"/>
          <w:b w:val="0"/>
          <w:color w:val="142235"/>
          <w:sz w:val="19"/>
        </w:rPr>
        <w:t>Aprovado com ressalva: funciona, mas há uma diferença visual ou de usabilidade que deve ser registrada.</w:t>
      </w:r>
    </w:p>
    <w:p>
      <w:pPr>
        <w:pStyle w:val="ListBullet"/>
        <w:spacing w:after="60"/>
        <w:ind w:left="312" w:hanging="142"/>
        <w:jc w:val="left"/>
      </w:pPr>
      <w:r>
        <w:rPr>
          <w:rFonts w:ascii="Arial" w:hAnsi="Arial" w:eastAsia="Arial"/>
          <w:b w:val="0"/>
          <w:color w:val="142235"/>
          <w:sz w:val="19"/>
        </w:rPr>
        <w:t>Reprovado: há erro, bloqueio, dado divergente, documento incorreto ou QR Code que não valida.</w:t>
      </w:r>
    </w:p>
    <w:p>
      <w:pPr>
        <w:pStyle w:val="ListBullet"/>
        <w:spacing w:after="60"/>
        <w:ind w:left="312" w:hanging="142"/>
        <w:jc w:val="left"/>
      </w:pPr>
      <w:r>
        <w:rPr>
          <w:rFonts w:ascii="Arial" w:hAnsi="Arial" w:eastAsia="Arial"/>
          <w:b w:val="0"/>
          <w:color w:val="142235"/>
          <w:sz w:val="19"/>
        </w:rPr>
        <w:t>Para cada problema, informe o ID, a tela/documento, número da proposta/contrato/OS/certificado e cole um print no próprio DOCX.</w:t>
      </w:r>
    </w:p>
    <w:p>
      <w:pPr>
        <w:pStyle w:val="ListBullet"/>
        <w:spacing w:after="60"/>
        <w:ind w:left="312" w:hanging="142"/>
        <w:jc w:val="left"/>
      </w:pPr>
      <w:r>
        <w:rPr>
          <w:rFonts w:ascii="Arial" w:hAnsi="Arial" w:eastAsia="Arial"/>
          <w:b w:val="0"/>
          <w:color w:val="142235"/>
          <w:sz w:val="19"/>
        </w:rPr>
        <w:t>Não envie ocorrências soltas no grupo de WhatsApp. O grupo serve apenas para avisar que a rodada foi concluída.</w:t>
      </w:r>
    </w:p>
    <w:p>
      <w:pPr>
        <w:keepNext/>
        <w:spacing w:before="160" w:after="100"/>
        <w:jc w:val="left"/>
      </w:pPr>
      <w:r>
        <w:rPr>
          <w:rFonts w:ascii="Arial" w:hAnsi="Arial" w:eastAsia="Arial"/>
          <w:b/>
          <w:color w:val="087F5B"/>
          <w:sz w:val="26"/>
        </w:rPr>
        <w:t>3. Regressão dirigida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765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134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2948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3458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765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76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RET-01</w:t>
            </w:r>
          </w:p>
        </w:tc>
        <w:tc>
          <w:tcPr>
            <w:tcW w:type="dxa" w:w="113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Dashboard</w:t>
            </w:r>
          </w:p>
        </w:tc>
        <w:tc>
          <w:tcPr>
            <w:tcW w:type="dxa" w:w="29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Abrir o dashboard em uma janela de desktop e reduzir a largura até o breakpoint de tablet.</w:t>
            </w:r>
          </w:p>
        </w:tc>
        <w:tc>
          <w:tcPr>
            <w:tcW w:type="dxa" w:w="345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Os cinco cards de Fluxo recomendado mantêm largura, espaçamento, textos e marcadores sem sobreposição ou deformação.</w:t>
            </w:r>
          </w:p>
        </w:tc>
        <w:tc>
          <w:tcPr>
            <w:tcW w:type="dxa" w:w="76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____</w:t>
            </w:r>
          </w:p>
        </w:tc>
      </w:tr>
      <w:tr>
        <w:tc>
          <w:tcPr>
            <w:tcW w:type="dxa" w:w="76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RET-02</w:t>
            </w:r>
          </w:p>
        </w:tc>
        <w:tc>
          <w:tcPr>
            <w:tcW w:type="dxa" w:w="113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Comercial</w:t>
            </w:r>
          </w:p>
        </w:tc>
        <w:tc>
          <w:tcPr>
            <w:tcW w:type="dxa" w:w="29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Abrir Contratos e conferir a ordenação depois de criar ou localizar dois contratos.</w:t>
            </w:r>
          </w:p>
        </w:tc>
        <w:tc>
          <w:tcPr>
            <w:tcW w:type="dxa" w:w="345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O contrato criado mais recentemente aparece no topo; a ordem permanece estável após atualizar a tela.</w:t>
            </w:r>
          </w:p>
        </w:tc>
        <w:tc>
          <w:tcPr>
            <w:tcW w:type="dxa" w:w="76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____</w:t>
            </w:r>
          </w:p>
        </w:tc>
      </w:tr>
      <w:tr>
        <w:tc>
          <w:tcPr>
            <w:tcW w:type="dxa" w:w="76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RET-03</w:t>
            </w:r>
          </w:p>
        </w:tc>
        <w:tc>
          <w:tcPr>
            <w:tcW w:type="dxa" w:w="113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Proposta</w:t>
            </w:r>
          </w:p>
        </w:tc>
        <w:tc>
          <w:tcPr>
            <w:tcW w:type="dxa" w:w="29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Abrir o PDF da proposta e ir à página de aceite.</w:t>
            </w:r>
          </w:p>
        </w:tc>
        <w:tc>
          <w:tcPr>
            <w:tcW w:type="dxa" w:w="345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As duas assinaturas ficam na mesma linha, alinhadas horizontalmente, sem corte, sobreposição ou empresa em terceira linha.</w:t>
            </w:r>
          </w:p>
        </w:tc>
        <w:tc>
          <w:tcPr>
            <w:tcW w:type="dxa" w:w="76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____</w:t>
            </w:r>
          </w:p>
        </w:tc>
      </w:tr>
      <w:tr>
        <w:tc>
          <w:tcPr>
            <w:tcW w:type="dxa" w:w="76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RET-04</w:t>
            </w:r>
          </w:p>
        </w:tc>
        <w:tc>
          <w:tcPr>
            <w:tcW w:type="dxa" w:w="113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Agenda</w:t>
            </w:r>
          </w:p>
        </w:tc>
        <w:tc>
          <w:tcPr>
            <w:tcW w:type="dxa" w:w="29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Abrir um agendamento existente e visualizar os detalhes.</w:t>
            </w:r>
          </w:p>
        </w:tc>
        <w:tc>
          <w:tcPr>
            <w:tcW w:type="dxa" w:w="345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Os detalhes exibem claramente a equipe designada e o veículo designado, com dados coerentes com o agendamento.</w:t>
            </w:r>
          </w:p>
        </w:tc>
        <w:tc>
          <w:tcPr>
            <w:tcW w:type="dxa" w:w="76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____</w:t>
            </w:r>
          </w:p>
        </w:tc>
      </w:tr>
      <w:tr>
        <w:tc>
          <w:tcPr>
            <w:tcW w:type="dxa" w:w="76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RET-05</w:t>
            </w:r>
          </w:p>
        </w:tc>
        <w:tc>
          <w:tcPr>
            <w:tcW w:type="dxa" w:w="113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OS e certificados</w:t>
            </w:r>
          </w:p>
        </w:tc>
        <w:tc>
          <w:tcPr>
            <w:tcW w:type="dxa" w:w="29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Encerrar uma OS com mais de uma TAG/equipamento aplicável, usando os dados permitidos no formulário.</w:t>
            </w:r>
          </w:p>
        </w:tc>
        <w:tc>
          <w:tcPr>
            <w:tcW w:type="dxa" w:w="345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É criado um certificado para cada TAG, cada um com sua própria identificação, hash, QR Code e vínculo correto com a mesma OS.</w:t>
            </w:r>
          </w:p>
        </w:tc>
        <w:tc>
          <w:tcPr>
            <w:tcW w:type="dxa" w:w="76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____</w:t>
            </w:r>
          </w:p>
        </w:tc>
      </w:tr>
      <w:tr>
        <w:tc>
          <w:tcPr>
            <w:tcW w:type="dxa" w:w="76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RET-06</w:t>
            </w:r>
          </w:p>
        </w:tc>
        <w:tc>
          <w:tcPr>
            <w:tcW w:type="dxa" w:w="113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Certificado</w:t>
            </w:r>
          </w:p>
        </w:tc>
        <w:tc>
          <w:tcPr>
            <w:tcW w:type="dxa" w:w="29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Abrir cada certificado gerado e comparar cliente, serviço, TAG, data, fotos e responsável com a OS.</w:t>
            </w:r>
          </w:p>
        </w:tc>
        <w:tc>
          <w:tcPr>
            <w:tcW w:type="dxa" w:w="345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Não há mistura de cliente, serviço, TAG, texto declaratório, fotos ou responsável entre certificados.</w:t>
            </w:r>
          </w:p>
        </w:tc>
        <w:tc>
          <w:tcPr>
            <w:tcW w:type="dxa" w:w="76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____</w:t>
            </w:r>
          </w:p>
        </w:tc>
      </w:tr>
      <w:tr>
        <w:tc>
          <w:tcPr>
            <w:tcW w:type="dxa" w:w="76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RET-07</w:t>
            </w:r>
          </w:p>
        </w:tc>
        <w:tc>
          <w:tcPr>
            <w:tcW w:type="dxa" w:w="113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QR Code</w:t>
            </w:r>
          </w:p>
        </w:tc>
        <w:tc>
          <w:tcPr>
            <w:tcW w:type="dxa" w:w="29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Ler o QR Code de cada certificado na tela e em uma impressão A4.</w:t>
            </w:r>
          </w:p>
        </w:tc>
        <w:tc>
          <w:tcPr>
            <w:tcW w:type="dxa" w:w="345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O QR abre a URL pública HTTPS do certificado correspondente e apresenta status, tenant, número, OS, serviço, execução, validade e SHA-256.</w:t>
            </w:r>
          </w:p>
        </w:tc>
        <w:tc>
          <w:tcPr>
            <w:tcW w:type="dxa" w:w="76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____</w:t>
            </w:r>
          </w:p>
        </w:tc>
      </w:tr>
    </w:tbl>
    <w:p>
      <w:pPr>
        <w:spacing w:after="40" w:line="259" w:lineRule="auto"/>
        <w:ind w:firstLine="0"/>
        <w:jc w:val="left"/>
      </w:pPr>
    </w:p>
    <w:p>
      <w:pPr>
        <w:keepNext/>
        <w:spacing w:before="160" w:after="100"/>
        <w:jc w:val="left"/>
      </w:pPr>
      <w:r>
        <w:rPr>
          <w:rFonts w:ascii="Arial" w:hAnsi="Arial" w:eastAsia="Arial"/>
          <w:b/>
          <w:color w:val="087F5B"/>
          <w:sz w:val="26"/>
        </w:rPr>
        <w:t>4. Evidência visual de referência</w:t>
      </w:r>
    </w:p>
    <w:p>
      <w:pPr>
        <w:spacing w:after="120" w:line="259" w:lineRule="auto"/>
        <w:ind w:firstLine="0"/>
        <w:jc w:val="left"/>
      </w:pPr>
      <w:r>
        <w:rPr>
          <w:rFonts w:ascii="Arial" w:hAnsi="Arial" w:eastAsia="Arial"/>
          <w:b w:val="0"/>
          <w:color w:val="142235"/>
          <w:sz w:val="19"/>
        </w:rPr>
        <w:t>Os prints abaixo são apenas orientação de navegação. A aprovação deve ser feita na aplicação publicada, com os dados atuais de homologação.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  <w:ind w:firstLine="0"/>
        <w:jc w:val="center"/>
      </w:pPr>
      <w:r>
        <w:rPr>
          <w:rFonts w:ascii="Arial" w:hAnsi="Arial" w:eastAsia="Arial"/>
          <w:b w:val="0"/>
          <w:i/>
          <w:color w:val="5B6878"/>
          <w:sz w:val="16"/>
        </w:rPr>
        <w:t>Dashboard: conferir principalmente os cards do fluxo recomendado.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61266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ercial-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126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  <w:ind w:firstLine="0"/>
        <w:jc w:val="center"/>
      </w:pPr>
      <w:r>
        <w:rPr>
          <w:rFonts w:ascii="Arial" w:hAnsi="Arial" w:eastAsia="Arial"/>
          <w:b w:val="0"/>
          <w:i/>
          <w:color w:val="5B6878"/>
          <w:sz w:val="16"/>
        </w:rPr>
        <w:t>Comercial: conferir a lista e a abertura dos documentos.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genda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  <w:ind w:firstLine="0"/>
        <w:jc w:val="center"/>
      </w:pPr>
      <w:r>
        <w:rPr>
          <w:rFonts w:ascii="Arial" w:hAnsi="Arial" w:eastAsia="Arial"/>
          <w:b w:val="0"/>
          <w:i/>
          <w:color w:val="5B6878"/>
          <w:sz w:val="16"/>
        </w:rPr>
        <w:t>Agenda: abrir o detalhe de um item e conferir equipe e veículo.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rdens-serv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  <w:ind w:firstLine="0"/>
        <w:jc w:val="center"/>
      </w:pPr>
      <w:r>
        <w:rPr>
          <w:rFonts w:ascii="Arial" w:hAnsi="Arial" w:eastAsia="Arial"/>
          <w:b w:val="0"/>
          <w:i/>
          <w:color w:val="5B6878"/>
          <w:sz w:val="16"/>
        </w:rPr>
        <w:t>OS: conferir encerramento e evidências antes de gerar certificados.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ertificados-histori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  <w:ind w:firstLine="0"/>
        <w:jc w:val="center"/>
      </w:pPr>
      <w:r>
        <w:rPr>
          <w:rFonts w:ascii="Arial" w:hAnsi="Arial" w:eastAsia="Arial"/>
          <w:b w:val="0"/>
          <w:i/>
          <w:color w:val="5B6878"/>
          <w:sz w:val="16"/>
        </w:rPr>
        <w:t>Certificados e histórico: localizar certificados por OS e TAG.</w:t>
      </w:r>
    </w:p>
    <w:p>
      <w:pPr>
        <w:keepNext/>
        <w:spacing w:before="160" w:after="100"/>
        <w:jc w:val="left"/>
      </w:pPr>
      <w:r>
        <w:rPr>
          <w:rFonts w:ascii="Arial" w:hAnsi="Arial" w:eastAsia="Arial"/>
          <w:b/>
          <w:color w:val="087F5B"/>
          <w:sz w:val="26"/>
        </w:rPr>
        <w:t>5. Teste real do QR Code</w:t>
      </w:r>
    </w:p>
    <w:p>
      <w:pPr>
        <w:spacing w:after="120" w:line="259" w:lineRule="auto"/>
        <w:ind w:firstLine="397"/>
        <w:jc w:val="left"/>
      </w:pPr>
      <w:r>
        <w:rPr>
          <w:rFonts w:ascii="Arial" w:hAnsi="Arial" w:eastAsia="Arial"/>
          <w:b w:val="0"/>
          <w:color w:val="142235"/>
          <w:sz w:val="19"/>
        </w:rPr>
        <w:t>Este teste é obrigatório para encerrar a pendência QL-03/FINAL-05. Use dois celulares diferentes. Primeiro leia o QR diretamente no PDF em tela; depois imprima o mesmo PDF em A4 e leia novamente.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005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6633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Preenchimento</w:t>
            </w:r>
          </w:p>
        </w:tc>
      </w:tr>
      <w:tr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Certificado 1 / código</w:t>
            </w:r>
          </w:p>
        </w:tc>
        <w:tc>
          <w:tcPr>
            <w:tcW w:type="dxa" w:w="663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Certificado 2 / código, se houver</w:t>
            </w:r>
          </w:p>
        </w:tc>
        <w:tc>
          <w:tcPr>
            <w:tcW w:type="dxa" w:w="663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Celular/aplicativo usado 1</w:t>
            </w:r>
          </w:p>
        </w:tc>
        <w:tc>
          <w:tcPr>
            <w:tcW w:type="dxa" w:w="663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Celular/aplicativo usado 2</w:t>
            </w:r>
          </w:p>
        </w:tc>
        <w:tc>
          <w:tcPr>
            <w:tcW w:type="dxa" w:w="663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Leitura em tela</w:t>
            </w:r>
          </w:p>
        </w:tc>
        <w:tc>
          <w:tcPr>
            <w:tcW w:type="dxa" w:w="663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Aprovado / Ressalva / Reprovado</w:t>
            </w:r>
          </w:p>
        </w:tc>
      </w:tr>
      <w:tr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Leitura no papel A4</w:t>
            </w:r>
          </w:p>
        </w:tc>
        <w:tc>
          <w:tcPr>
            <w:tcW w:type="dxa" w:w="663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Aprovado / Ressalva / Reprovado</w:t>
            </w:r>
          </w:p>
        </w:tc>
      </w:tr>
      <w:tr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URL aberta</w:t>
            </w:r>
          </w:p>
        </w:tc>
        <w:tc>
          <w:tcPr>
            <w:tcW w:type="dxa" w:w="663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Observação</w:t>
            </w:r>
          </w:p>
        </w:tc>
        <w:tc>
          <w:tcPr>
            <w:tcW w:type="dxa" w:w="663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____________________________________________</w:t>
              <w:br/>
              <w:t>____________________________________________</w:t>
            </w:r>
          </w:p>
        </w:tc>
      </w:tr>
    </w:tbl>
    <w:p>
      <w:pPr>
        <w:spacing w:after="40" w:line="259" w:lineRule="auto"/>
        <w:ind w:firstLine="0"/>
        <w:jc w:val="left"/>
      </w:pPr>
    </w:p>
    <w:p>
      <w:pPr>
        <w:spacing w:after="120" w:line="259" w:lineRule="auto"/>
        <w:ind w:firstLine="397"/>
        <w:jc w:val="left"/>
      </w:pPr>
      <w:r>
        <w:rPr>
          <w:rFonts w:ascii="Arial" w:hAnsi="Arial" w:eastAsia="Arial"/>
          <w:b/>
          <w:color w:val="087F5B"/>
          <w:sz w:val="19"/>
        </w:rPr>
        <w:t>Critério: não basta o QR abrir uma página. A página deve corresponder ao certificado lido, sem trocar tenant, cliente, serviço, OS, TAG ou hash.</w:t>
      </w:r>
    </w:p>
    <w:p>
      <w:pPr>
        <w:keepNext/>
        <w:spacing w:before="160" w:after="100"/>
        <w:jc w:val="left"/>
      </w:pPr>
      <w:r>
        <w:rPr>
          <w:rFonts w:ascii="Arial" w:hAnsi="Arial" w:eastAsia="Arial"/>
          <w:b/>
          <w:color w:val="087F5B"/>
          <w:sz w:val="26"/>
        </w:rPr>
        <w:t>6. Registro de divergências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020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1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Tela/documento</w:t>
            </w:r>
          </w:p>
        </w:tc>
        <w:tc>
          <w:tcPr>
            <w:tcW w:type="dxa" w:w="2835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 que aconteceu</w:t>
            </w:r>
          </w:p>
        </w:tc>
        <w:tc>
          <w:tcPr>
            <w:tcW w:type="dxa" w:w="1531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Evidência</w:t>
            </w:r>
          </w:p>
        </w:tc>
        <w:tc>
          <w:tcPr>
            <w:tcW w:type="dxa" w:w="1134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Severidade</w:t>
            </w:r>
          </w:p>
        </w:tc>
        <w:tc>
          <w:tcPr>
            <w:tcW w:type="dxa" w:w="850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0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HML-RET-01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  <w:tc>
          <w:tcPr>
            <w:tcW w:type="dxa" w:w="283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  <w:tc>
          <w:tcPr>
            <w:tcW w:type="dxa" w:w="15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  <w:tc>
          <w:tcPr>
            <w:tcW w:type="dxa" w:w="113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  <w:tc>
          <w:tcPr>
            <w:tcW w:type="dxa" w:w="8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Aberto</w:t>
            </w:r>
          </w:p>
        </w:tc>
      </w:tr>
      <w:tr>
        <w:tc>
          <w:tcPr>
            <w:tcW w:type="dxa" w:w="10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HML-RET-02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  <w:tc>
          <w:tcPr>
            <w:tcW w:type="dxa" w:w="283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  <w:tc>
          <w:tcPr>
            <w:tcW w:type="dxa" w:w="15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  <w:tc>
          <w:tcPr>
            <w:tcW w:type="dxa" w:w="113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  <w:tc>
          <w:tcPr>
            <w:tcW w:type="dxa" w:w="8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Aberto</w:t>
            </w:r>
          </w:p>
        </w:tc>
      </w:tr>
      <w:tr>
        <w:tc>
          <w:tcPr>
            <w:tcW w:type="dxa" w:w="10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HML-RET-03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  <w:tc>
          <w:tcPr>
            <w:tcW w:type="dxa" w:w="283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  <w:tc>
          <w:tcPr>
            <w:tcW w:type="dxa" w:w="15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  <w:tc>
          <w:tcPr>
            <w:tcW w:type="dxa" w:w="113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  <w:tc>
          <w:tcPr>
            <w:tcW w:type="dxa" w:w="8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Aberto</w:t>
            </w:r>
          </w:p>
        </w:tc>
      </w:tr>
      <w:tr>
        <w:tc>
          <w:tcPr>
            <w:tcW w:type="dxa" w:w="10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HML-RET-04</w:t>
            </w:r>
          </w:p>
        </w:tc>
        <w:tc>
          <w:tcPr>
            <w:tcW w:type="dxa" w:w="170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  <w:tc>
          <w:tcPr>
            <w:tcW w:type="dxa" w:w="283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  <w:tc>
          <w:tcPr>
            <w:tcW w:type="dxa" w:w="15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  <w:tc>
          <w:tcPr>
            <w:tcW w:type="dxa" w:w="113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  <w:tc>
          <w:tcPr>
            <w:tcW w:type="dxa" w:w="8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Aberto</w:t>
            </w:r>
          </w:p>
        </w:tc>
      </w:tr>
    </w:tbl>
    <w:p>
      <w:pPr>
        <w:spacing w:after="40" w:line="259" w:lineRule="auto"/>
        <w:ind w:firstLine="0"/>
        <w:jc w:val="left"/>
      </w:pPr>
    </w:p>
    <w:p>
      <w:pPr>
        <w:keepNext/>
        <w:spacing w:before="160" w:after="100"/>
        <w:jc w:val="left"/>
      </w:pPr>
      <w:r>
        <w:rPr>
          <w:rFonts w:ascii="Arial" w:hAnsi="Arial" w:eastAsia="Arial"/>
          <w:b/>
          <w:color w:val="087F5B"/>
          <w:sz w:val="26"/>
        </w:rPr>
        <w:t>7. Resultado da rodada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005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633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Preenchimento</w:t>
            </w:r>
          </w:p>
        </w:tc>
      </w:tr>
      <w:tr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Nome de quem testou</w:t>
            </w:r>
          </w:p>
        </w:tc>
        <w:tc>
          <w:tcPr>
            <w:tcW w:type="dxa" w:w="663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</w:tr>
      <w:tr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Data do teste</w:t>
            </w:r>
          </w:p>
        </w:tc>
        <w:tc>
          <w:tcPr>
            <w:tcW w:type="dxa" w:w="663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</w:tr>
      <w:tr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Resultado geral</w:t>
            </w:r>
          </w:p>
        </w:tc>
        <w:tc>
          <w:tcPr>
            <w:tcW w:type="dxa" w:w="663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Aprovado / Aprovado com ressalva / Reprovado</w:t>
            </w:r>
          </w:p>
        </w:tc>
      </w:tr>
      <w:tr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Pode encerrar a Etapa 7?</w:t>
            </w:r>
          </w:p>
        </w:tc>
        <w:tc>
          <w:tcPr>
            <w:tcW w:type="dxa" w:w="663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Sim / Não</w:t>
            </w:r>
          </w:p>
        </w:tc>
      </w:tr>
      <w:tr>
        <w:tc>
          <w:tcPr>
            <w:tcW w:type="dxa" w:w="300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Resumo</w:t>
            </w:r>
          </w:p>
        </w:tc>
        <w:tc>
          <w:tcPr>
            <w:tcW w:type="dxa" w:w="6633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</w:r>
          </w:p>
        </w:tc>
      </w:tr>
    </w:tbl>
    <w:p>
      <w:pPr>
        <w:spacing w:after="40" w:line="259" w:lineRule="auto"/>
        <w:ind w:firstLine="0"/>
        <w:jc w:val="left"/>
      </w:pPr>
    </w:p>
    <w:p>
      <w:pPr>
        <w:spacing w:after="120" w:line="259" w:lineRule="auto"/>
        <w:ind w:firstLine="397"/>
        <w:jc w:val="left"/>
      </w:pPr>
      <w:r>
        <w:rPr>
          <w:rFonts w:ascii="Arial" w:hAnsi="Arial" w:eastAsia="Arial"/>
          <w:b w:val="0"/>
          <w:color w:val="142235"/>
          <w:sz w:val="19"/>
        </w:rPr>
        <w:t>Atenção: esta rodada não substitui a matriz completa. Ela confirma os ajustes da validação anterior. Se algum item reprovar, mantenha o ID e a evidência para correção rastreável.</w:t>
      </w:r>
    </w:p>
    <w:p>
      <w:pPr>
        <w:keepNext/>
        <w:spacing w:before="160" w:after="100"/>
        <w:jc w:val="left"/>
      </w:pPr>
      <w:r>
        <w:rPr>
          <w:rFonts w:ascii="Arial" w:hAnsi="Arial" w:eastAsia="Arial"/>
          <w:b/>
          <w:color w:val="087F5B"/>
          <w:sz w:val="26"/>
        </w:rPr>
        <w:t>Histórico de versões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134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Versão</w:t>
            </w:r>
          </w:p>
        </w:tc>
        <w:tc>
          <w:tcPr>
            <w:tcW w:type="dxa" w:w="8391"/>
            <w:vAlign w:val="center"/>
            <w:shd w:fill="087F5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113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v1.5</w:t>
            </w:r>
          </w:p>
        </w:tc>
        <w:tc>
          <w:tcPr>
            <w:tcW w:type="dxa" w:w="839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4F7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Roteiro dirigido para revalidar as correções publicadas após o retorno do Tarcísio. Texto revisado em UTF-8, com prints e teste real do QR Code em tela e papel.</w:t>
            </w:r>
          </w:p>
        </w:tc>
      </w:tr>
      <w:tr>
        <w:tc>
          <w:tcPr>
            <w:tcW w:type="dxa" w:w="113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v1.4</w:t>
            </w:r>
          </w:p>
        </w:tc>
        <w:tc>
          <w:tcPr>
            <w:tcW w:type="dxa" w:w="839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142235"/>
                <w:sz w:val="16"/>
              </w:rPr>
              <w:t>Matriz anterior de validação final da homologação.</w:t>
            </w:r>
          </w:p>
        </w:tc>
      </w:tr>
    </w:tbl>
    <w:p>
      <w:pPr>
        <w:spacing w:after="40" w:line="259" w:lineRule="auto"/>
        <w:ind w:firstLine="0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5B6878"/>
        <w:sz w:val="15"/>
      </w:rPr>
      <w:t>Atenza FieldOps • Homologação • Roteiro de revalidação v1.5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</w:p>
  <w:p>
    <w: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ções Digitais"/>
        </v:shape>
      </w:pict>
    </w:r>
  </w:p>
  <w:tbl>
    <w:tblPr>
      <w:tblW w:type="auto" w:w="0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116000" cy="21851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tenza_logo_dark_templat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21851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06000" cy="43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tenza_tecnologia_com_proposit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000" cy="43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1422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