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ind w:firstLine="0"/>
        <w:jc w:val="left"/>
      </w:pPr>
      <w:r>
        <w:rPr>
          <w:rFonts w:ascii="Nortica Typeface Bold" w:hAnsi="Nortica Typeface Bold" w:eastAsia="Nortica Typeface Bold"/>
          <w:b/>
          <w:sz w:val="18"/>
        </w:rPr>
        <w:t>DOCUMENTO INSTITUCIONAL</w:t>
      </w:r>
    </w:p>
    <w:p>
      <w:pPr>
        <w:spacing w:before="280" w:after="120"/>
        <w:ind w:firstLine="0"/>
        <w:jc w:val="left"/>
      </w:pPr>
      <w:r>
        <w:rPr>
          <w:rFonts w:ascii="Neue Power Ultra" w:hAnsi="Neue Power Ultra" w:eastAsia="Neue Power Ultra"/>
          <w:b/>
          <w:sz w:val="36"/>
        </w:rPr>
        <w:t>Relatório de Prontidão P0</w:t>
      </w:r>
    </w:p>
    <w:p>
      <w:pPr>
        <w:spacing w:after="140"/>
        <w:ind w:firstLine="0"/>
        <w:jc w:val="left"/>
      </w:pPr>
      <w:r>
        <w:rPr>
          <w:rFonts w:ascii="Nortica Typeface" w:hAnsi="Nortica Typeface" w:eastAsia="Nortica Typeface"/>
          <w:b w:val="0"/>
          <w:sz w:val="20"/>
        </w:rPr>
        <w:t>Atenza FieldOps - consolidação executiva da prontidão de homologação assistida do fluxo P0 da Ciperprag.</w:t>
      </w:r>
    </w:p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Ficha executiva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65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Campo</w:t>
            </w:r>
          </w:p>
        </w:tc>
        <w:tc>
          <w:tcPr>
            <w:tcW w:type="dxa" w:w="6236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Informação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Projeto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Atenza FieldOps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Tenant de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Ciperprag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Ambiente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Homologação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URL oficial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https://fieldops-homologacao.atenza.digital/login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Versão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0.6.3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Branch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homologacao/p0-relatorios-tecnicos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#4 - Integrar fluxo P0 para homologação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Commit-base deste relatório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4098773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Responsável Atenza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Ewerton Gomes Almeida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Data do relatório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19/07/2026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Status executivo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Pronto para homologação assistida, ainda não liberado para produção SaaS.</w:t>
            </w:r>
          </w:p>
        </w:tc>
      </w:tr>
    </w:tbl>
    <w:p/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1. Decisão recomendada</w:t>
      </w:r>
    </w:p>
    <w:p>
      <w:pPr>
        <w:spacing w:after="140"/>
        <w:ind w:firstLine="397"/>
        <w:jc w:val="both"/>
      </w:pPr>
      <w:r>
        <w:rPr>
          <w:rFonts w:ascii="Nortica Typeface" w:hAnsi="Nortica Typeface" w:eastAsia="Nortica Typeface"/>
          <w:b w:val="0"/>
          <w:sz w:val="20"/>
        </w:rPr>
        <w:t>A recomendação é manter a Etapa 7 aberta para a validação assistida com Tarcísio e equipe, usando o roteiro final já gerado. O P0 está tecnicamente organizado para teste ponta a ponta em homologação, mas a liberação para produção deve aguardar a devolutiva humana, a triagem das divergências e a etapa de hardening SaaS.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- Liberar uso em homologação: recomendado.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- Liberar produção SaaS: não recomendado neste momento.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- Avançar em paralelo: permitido apenas em itens que não alterem o fluxo em teste.</w:t>
      </w:r>
    </w:p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2. Prontidão por frente do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57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Frente P0</w:t>
            </w:r>
          </w:p>
        </w:tc>
        <w:tc>
          <w:tcPr>
            <w:tcW w:type="dxa" w:w="1814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Situação</w:t>
            </w:r>
          </w:p>
        </w:tc>
        <w:tc>
          <w:tcPr>
            <w:tcW w:type="dxa" w:w="3005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Critério principal</w:t>
            </w:r>
          </w:p>
        </w:tc>
        <w:tc>
          <w:tcPr>
            <w:tcW w:type="dxa" w:w="2324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Evidência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1. Propostas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Pronta para homologação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Proposta com layout aprovado, ordem de seções corrigida, Montserrat incorporada e fluxo para minuta/contrato.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docs/evidencias/qa_fluxo_visual/proposta-ciperprag.pdf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2. Contratos e minutas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Pronto para homologação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Fluxo proposta -&gt; minuta -&gt; contrato final -&gt; contrato operacional validado tecnicamente.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docs/evidencias/qa_fluxo_visual/contrato-ciperprag.pdf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3. Agendamentos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Pronto para homologação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Agenda usa contratos vigentes com saldo e permite equipe, veículo, local e detalhes do serviço.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docs/evidencias/etapa7_homologacao/execucao-tecnica-e2e.md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4. Ordens de Serviço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Pronta para homologação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OS impressa pelo gerador centralizado, com tag/equipamento, checklist e fechamento com evidências.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docs/evidencias/qa_fluxo_visual/os-atual.pdf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5. Certificados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Pronto para homologação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Certificado em Montserrat, QR Code, hash SHA-256, fotos dinâmicas, blocos condicionais e validação pública.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docs/cliente/certificados_montserrat/certificado-ciperprag-amostra-final.pdf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6. Relatórios técnicos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Pronto para homologação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Relatório a partir da OS, sem valores comerciais, com checklist, fotos, produtos, EPIs e normas.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docs/cliente/relatorios_tecnicos/relatorio-tecnico-ciperprag-amostra.pdf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7. Medições e acompanhamento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Pronta para homologação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Medição em A4 retrato, totalização em centavos, status de NF/pagamento/ERP e Montserrat incorporada.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docs/evidencias/etapa7_homologacao/medicoes/med-validacao-2026-a4-retrato.pdf</w:t>
            </w:r>
          </w:p>
        </w:tc>
      </w:tr>
    </w:tbl>
    <w:p/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3. Evidências técnicas consolidadas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Evidência</w:t>
            </w:r>
          </w:p>
        </w:tc>
        <w:tc>
          <w:tcPr>
            <w:tcW w:type="dxa" w:w="6066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Resumo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Roteiro final Tarcísio v1.1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Documento formal para validação assistida por perfil, com checklist e registro de divergências.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Auditoria de fontes documentais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Proposta, contrato, OS, certificado, relatório técnico e medição validados com Montserrat incorporada.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Smoke E2E local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Fluxo proposta aprovada, minuta, contrato, agenda, OS, certificado, medição e recorrência aprovado tecnicamente.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Smoke VPS de homologação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Health, login, API protegida, bootstrap e certificado público já foram cobertos em validações anteriores.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Saneamento de homologação</w:t>
            </w:r>
          </w:p>
        </w:tc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Dados legados com encoding e resíduos funcionais antigos foram tratados no tenant Ciperprag.</w:t>
            </w:r>
          </w:p>
        </w:tc>
      </w:tr>
    </w:tbl>
    <w:p/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4. Itens que ainda exigem validação humana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1. Executar o fluxo completo com usuário humano: proposta, minuta, contrato final, agenda, OS, encerramento, certificado, medição e recorrência.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2. Validar leitura real de QR Code em tela e impresso com celular, porque esse ponto depende de experiência física.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3. Conferir se os nomes, rótulos, acentuação, datas, horas e valores fazem sentido para a rotina da Ciperprag.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4. Registrar divergências no DOCX do roteiro, com print, número do documento e severidade.</w:t>
      </w:r>
    </w:p>
    <w:p>
      <w:pPr>
        <w:spacing w:after="80"/>
        <w:ind w:firstLine="0" w:left="397"/>
        <w:jc w:val="left"/>
      </w:pPr>
      <w:r>
        <w:rPr>
          <w:rFonts w:ascii="Nortica Typeface" w:hAnsi="Nortica Typeface" w:eastAsia="Nortica Typeface"/>
          <w:b w:val="0"/>
          <w:sz w:val="19"/>
        </w:rPr>
        <w:t>5. Confirmar se o fluxo está simples o suficiente para adoção pelos usuários sem orientação constante.</w:t>
      </w:r>
    </w:p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5. Bloqueios para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Bloqueio</w:t>
            </w:r>
          </w:p>
        </w:tc>
        <w:tc>
          <w:tcPr>
            <w:tcW w:type="dxa" w:w="4649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Motivo</w:t>
            </w:r>
          </w:p>
        </w:tc>
        <w:tc>
          <w:tcPr>
            <w:tcW w:type="dxa" w:w="1871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Etapa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Feedback humano pendente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A equipe ainda precisa executar a rodada assistida e devolver o roteiro preenchido.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Etapa 7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Hardening SaaS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Produção exige isolamento final, storage, políticas de segurança, observabilidade e rollback formal.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Etapa 8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PDF server-side final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Os documentos já têm padrão visual, mas produção deve persistir PDF binário imutável com snapshot e hash.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Etapa 8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Governança multi-tenant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Ainda faltam validações finais de tenant genérico, tenant sem logo e parametrização documental completa.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Etapa 8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 com política de review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Merge na main depende de aprovação conforme política do repositório.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Governança Git</w:t>
            </w:r>
          </w:p>
        </w:tc>
      </w:tr>
    </w:tbl>
    <w:p/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6. Backlog remanescente consolidado</w:t>
      </w:r>
    </w:p>
    <w:p>
      <w:pPr>
        <w:spacing w:after="140"/>
        <w:ind w:firstLine="397"/>
        <w:jc w:val="both"/>
      </w:pPr>
      <w:r>
        <w:rPr>
          <w:rFonts w:ascii="Nortica Typeface" w:hAnsi="Nortica Typeface" w:eastAsia="Nortica Typeface"/>
          <w:b w:val="0"/>
          <w:sz w:val="20"/>
        </w:rPr>
        <w:t>O backlog permanece centralizado no roadmap por etapas. A contagem atual é de 46 itens remanescentes, sendo 8 na Etapa 7 e 38 na Etapa 8. Não há itens fora de etapa.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Grupo</w:t>
            </w:r>
          </w:p>
        </w:tc>
        <w:tc>
          <w:tcPr>
            <w:tcW w:type="dxa" w:w="1474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Quantidade</w:t>
            </w:r>
          </w:p>
        </w:tc>
        <w:tc>
          <w:tcPr>
            <w:tcW w:type="dxa" w:w="4479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Observação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Etapa 7 - QA e homologação guiada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8</w:t>
            </w:r>
          </w:p>
        </w:tc>
        <w:tc>
          <w:tcPr>
            <w:tcW w:type="dxa" w:w="44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Itens de validação manual, multi-tenant, numeração, anexos, UX e QR Code físico.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Etapa 8 - Produção e hardening SaaS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38</w:t>
            </w:r>
          </w:p>
        </w:tc>
        <w:tc>
          <w:tcPr>
            <w:tcW w:type="dxa" w:w="44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Itens de produção, governança, storage, R2, PDF server-side, segurança, permissões e UX avançada.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Itens fora de etapa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0</w:t>
            </w:r>
          </w:p>
        </w:tc>
        <w:tc>
          <w:tcPr>
            <w:tcW w:type="dxa" w:w="44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Todos os itens conhecidos estão alocados no roadmap.</w:t>
            </w:r>
          </w:p>
        </w:tc>
      </w:tr>
    </w:tbl>
    <w:p/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7. Próxima ação sugerida</w:t>
      </w:r>
    </w:p>
    <w:p>
      <w:pPr>
        <w:spacing w:after="140"/>
        <w:ind w:firstLine="397"/>
        <w:jc w:val="both"/>
      </w:pPr>
      <w:r>
        <w:rPr>
          <w:rFonts w:ascii="Nortica Typeface" w:hAnsi="Nortica Typeface" w:eastAsia="Nortica Typeface"/>
          <w:b w:val="0"/>
          <w:sz w:val="20"/>
        </w:rPr>
        <w:t>A próxima ação sugerida é aguardar a devolução do roteiro preenchido pelo Tarcísio e, em paralelo, preparar a matriz de triagem das divergências para classificar cada retorno como correção P0 obrigatória, ajuste de UX da Etapa 8 ou melhoria futura parametrizável. Isso evita retrabalho e mantém o P0 fechado por evidência, não por percepção.</w:t>
      </w:r>
    </w:p>
    <w:p>
      <w:pPr>
        <w:spacing w:before="180" w:after="120"/>
        <w:ind w:firstLine="0"/>
        <w:jc w:val="left"/>
      </w:pPr>
      <w:r>
        <w:rPr>
          <w:rFonts w:ascii="Nortica Typeface Bold" w:hAnsi="Nortica Typeface Bold" w:eastAsia="Nortica Typeface Bold"/>
          <w:b/>
          <w:sz w:val="26"/>
        </w:rP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Versão</w:t>
            </w:r>
          </w:p>
        </w:tc>
        <w:tc>
          <w:tcPr>
            <w:tcW w:type="dxa" w:w="1587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Data</w:t>
            </w:r>
          </w:p>
        </w:tc>
        <w:tc>
          <w:tcPr>
            <w:tcW w:type="dxa" w:w="2381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Responsável</w:t>
            </w:r>
          </w:p>
        </w:tc>
        <w:tc>
          <w:tcPr>
            <w:tcW w:type="dxa" w:w="3969"/>
            <w:vAlign w:val="top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Nortica Typeface Bold" w:hAnsi="Nortica Typeface Bold" w:eastAsia="Nortica Typeface Bold"/>
                <w:b/>
                <w:sz w:val="17"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v1.0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19/07/2026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rtica Typeface" w:hAnsi="Nortica Typeface" w:eastAsia="Nortica Typeface"/>
                <w:b w:val="0"/>
                <w:sz w:val="17"/>
              </w:rPr>
              <w:t>Primeira consolidação executiva de prontidão P0 para homologação assistida.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rtica Typeface" w:hAnsi="Nortica Typeface" w:eastAsia="Nortica Typeface"/>
        <w:b w:val="0"/>
        <w:color w:val="6B7280"/>
        <w:sz w:val="16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rPr>
        <w:rFonts w:ascii="Nortica Typeface" w:hAnsi="Nortica Typeface" w:eastAsia="Nortica Typeface"/>
        <w:b w:val="0"/>
        <w:sz w:val="16"/>
      </w:rP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06000" cy="43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000" cy="4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Prontidão P0 - Atenza FieldOps</dc:title>
  <dc:subject>Prontidão de homologação do fluxo P0 Ciperprag</dc:subject>
  <dc:creator>Atenza</dc:creator>
  <cp:keywords/>
  <dc:description>Documento de acompanhamento de homologação, sem credenciais ou segredos.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