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Arial" w:hAnsi="Arial"/>
          <w:b/>
          <w:color w:val="142033"/>
          <w:sz w:val="44"/>
        </w:rPr>
        <w:t>Roteiro Completo de Validação</w:t>
      </w:r>
    </w:p>
    <w:p>
      <w:pPr>
        <w:jc w:val="center"/>
      </w:pPr>
      <w:r>
        <w:rPr>
          <w:rFonts w:ascii="Arial" w:hAnsi="Arial"/>
          <w:color w:val="087F5B"/>
          <w:sz w:val="24"/>
        </w:rPr>
        <w:t>Atenza FieldOps | Homologação Ciperprag | v1.6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5F1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/>
            <w:r>
              <w:rPr>
                <w:b/>
                <w:color w:val="087F5B"/>
              </w:rPr>
              <w:t>Objetivo da rodada</w:t>
            </w:r>
          </w:p>
          <w:p>
            <w:pPr>
              <w:spacing w:after="0"/>
            </w:pPr>
            <w:r>
              <w:t>Validar a jornada completa, desde Administração e Comercial até Operacional, Certificados, Relatórios, Medição e acompanhamento no ERP, registrando evidências suficientes para aprovar ou corrigir o produto.</w:t>
            </w:r>
          </w:p>
        </w:tc>
      </w:tr>
    </w:tbl>
    <w:p>
      <w:pPr>
        <w:spacing w:after="40"/>
      </w:pPr>
    </w:p>
    <w:p>
      <w:pPr>
        <w:spacing w:after="120"/>
        <w:ind w:firstLine="360"/>
        <w:jc w:val="left"/>
      </w:pPr>
      <w:r>
        <w:t>Este roteiro deve ser executado exclusivamente em homologação. Os dados podem ser de teste e não representam produção. Não registrar senhas em prints, mensagens ou planilhas.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87F5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Informação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87F5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URL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https://fieldops-homologacao.atenza.digital/login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Ambiente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Homologação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Versão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0.6.3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Tenant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Ciperprag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Responsável pelo registro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Tarcísio / equipe Ciperprag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0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/>
            <w:r>
              <w:rPr>
                <w:b/>
                <w:color w:val="087F5B"/>
              </w:rPr>
              <w:t>Como as senhas serão entregues</w:t>
            </w:r>
          </w:p>
          <w:p>
            <w:pPr>
              <w:spacing w:after="0"/>
            </w:pPr>
            <w:r>
              <w:t>As contas abaixo são contas temporárias. A senha deve ser fornecida separadamente pela Atenza no início da rodada ou regenerada pelo administrador de homologação. O DOCX não grava senhas para evitar vazamento e reutilização indevida.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" w:hAnsi="Arial"/>
          <w:color w:val="087F5B"/>
        </w:rPr>
        <w:t>1. Contas e perfis de teste</w:t>
      </w:r>
    </w:p>
    <w:p>
      <w:pPr>
        <w:spacing w:after="120"/>
        <w:ind w:firstLine="360"/>
        <w:jc w:val="left"/>
      </w:pPr>
      <w:r>
        <w:t>Use uma conta por área. Se uma conta precisar acumular permissões para executar um cenário de ponta a ponta, registre essa exceção na matriz de aceite.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87F5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Área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87F5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Usuário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87F5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Perfil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87F5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Senha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Administração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administrador local / conta admin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administrativo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Temporária, fornecida separadamente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Comercial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homolog.comercial@atenza.digital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comercial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Temporária, fornecida separadamente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Operacional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homolog.operacao@atenza.digital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operação + administrativo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Temporária, fornecida separadamente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Qualidade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homolog.qualidade@atenza.digital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responsável técnico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Temporária, fornecida separadamente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Medição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homolog.medicao@atenza.digital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financeiro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Temporária, fornecida separadamente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t>Troque a senha temporária no primeiro acesso quando o sistema solicitar.</w:t>
      </w:r>
    </w:p>
    <w:p>
      <w:pPr>
        <w:pStyle w:val="ListBullet"/>
        <w:spacing w:after="60"/>
      </w:pPr>
      <w:r>
        <w:t>Não use a conta administrativa para validar permissões de perfis menores.</w:t>
      </w:r>
    </w:p>
    <w:p>
      <w:pPr>
        <w:pStyle w:val="ListBullet"/>
        <w:spacing w:after="60"/>
      </w:pPr>
      <w:r>
        <w:t>Se a senha for perdida, solicitar regeneração ao administrador da homologação; não criar senha em documento compartilhado.</w:t>
      </w:r>
    </w:p>
    <w:p>
      <w:pPr>
        <w:pStyle w:val="Heading1"/>
        <w:keepNext/>
      </w:pPr>
      <w:r>
        <w:rPr>
          <w:rFonts w:ascii="Arial" w:hAnsi="Arial"/>
          <w:color w:val="087F5B"/>
        </w:rPr>
        <w:t>2. Como registrar o resultado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87F5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87F5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Quando usar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Aprovado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O comportamento corresponde ao esperado e não houve dúvida relevante.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Aprovado com observação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Funciona, mas há melhoria visual ou de usabilidade sem bloquear o fluxo.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Reprovado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Impede continuar, grava dado incorreto, mistura tenants ou gera documento inválido.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Não testado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Não foi possível executar; registrar o motivo e o passo pendente.</w:t>
            </w:r>
          </w:p>
        </w:tc>
      </w:tr>
    </w:tbl>
    <w:p>
      <w:pPr>
        <w:spacing w:after="40"/>
      </w:pPr>
    </w:p>
    <w:p>
      <w:pPr>
        <w:spacing w:after="120"/>
        <w:ind w:firstLine="360"/>
        <w:jc w:val="left"/>
      </w:pPr>
      <w:r>
        <w:t>Para cada ocorrência, informe ID do teste, usuário, data/hora, URL, número do documento, passo executado, resultado esperado, resultado encontrado, severidade e anexe um print sem senha.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0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/>
            <w:r>
              <w:rPr>
                <w:b/>
                <w:color w:val="087F5B"/>
              </w:rPr>
              <w:t>Importante</w:t>
            </w:r>
          </w:p>
          <w:p>
            <w:pPr>
              <w:spacing w:after="0"/>
            </w:pPr>
            <w:r>
              <w:t>Não enviar problemas soltos no grupo de WhatsApp. Preencha este documento ou a matriz de divergências e envie o arquivo consolidado ao final da rodada.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" w:hAnsi="Arial"/>
          <w:color w:val="087F5B"/>
        </w:rPr>
        <w:t>3. Administração e configuração</w:t>
      </w:r>
    </w:p>
    <w:p>
      <w:pPr>
        <w:spacing w:after="120"/>
        <w:ind w:firstLine="360"/>
        <w:jc w:val="left"/>
      </w:pPr>
      <w:r>
        <w:t>Objetivo: confirmar que o administrador consegue controlar usuários, papéis, permissões, identidade documental, numeração e auditoria sem precisar de suporte técnico.</w:t>
      </w:r>
    </w:p>
    <w:p>
      <w:pPr>
        <w:spacing w:after="80"/>
        <w:ind w:left="288" w:hanging="288"/>
      </w:pPr>
      <w:r>
        <w:rPr>
          <w:b/>
        </w:rPr>
        <w:t xml:space="preserve">1. Entrar com o usuário administrador e confirmar o badge Homologação. </w:t>
      </w:r>
      <w:r>
        <w:t>Esperado: O ambiente fica claramente identificado como teste.</w:t>
      </w:r>
    </w:p>
    <w:p>
      <w:pPr>
        <w:spacing w:after="80"/>
        <w:ind w:left="288" w:hanging="288"/>
      </w:pPr>
      <w:r>
        <w:rPr>
          <w:b/>
        </w:rPr>
        <w:t xml:space="preserve">2. Abrir Administração &gt; Usuários e perfis. </w:t>
      </w:r>
      <w:r>
        <w:t>Esperado: A lista de usuários do tenant aparece sem dados de outro tenant.</w:t>
      </w:r>
    </w:p>
    <w:p>
      <w:pPr>
        <w:spacing w:after="80"/>
        <w:ind w:left="288" w:hanging="288"/>
      </w:pPr>
      <w:r>
        <w:rPr>
          <w:b/>
        </w:rPr>
        <w:t xml:space="preserve">3. Criar ou editar um usuário de teste e associar um papel. </w:t>
      </w:r>
      <w:r>
        <w:t>Esperado: O papel é salvo e a permissão é refletida no menu/dashboard.</w:t>
      </w:r>
    </w:p>
    <w:p>
      <w:pPr>
        <w:spacing w:after="80"/>
        <w:ind w:left="288" w:hanging="288"/>
      </w:pPr>
      <w:r>
        <w:rPr>
          <w:b/>
        </w:rPr>
        <w:t xml:space="preserve">4. Abrir a matriz de permissões e conferir Comercial, Operacional e Financeiro. </w:t>
      </w:r>
      <w:r>
        <w:t>Esperado: O administrador consegue permitir ou bloquear ações por papel.</w:t>
      </w:r>
    </w:p>
    <w:p>
      <w:pPr>
        <w:spacing w:after="80"/>
        <w:ind w:left="288" w:hanging="288"/>
      </w:pPr>
      <w:r>
        <w:rPr>
          <w:b/>
        </w:rPr>
        <w:t xml:space="preserve">5. Abrir Configurações &gt; identidade e documentos. </w:t>
      </w:r>
      <w:r>
        <w:t>Esperado: Logo, ícone, assinatura, cor documental e textos são parametrizáveis por tenant.</w:t>
      </w:r>
    </w:p>
    <w:p>
      <w:pPr>
        <w:spacing w:after="80"/>
        <w:ind w:left="288" w:hanging="288"/>
      </w:pPr>
      <w:r>
        <w:rPr>
          <w:b/>
        </w:rPr>
        <w:t xml:space="preserve">6. Alterar o último número de uma série em ambiente de teste. </w:t>
      </w:r>
      <w:r>
        <w:t>Esperado: A próxima numeração segue a sequência configurada sem duplicidade.</w:t>
      </w:r>
    </w:p>
    <w:p>
      <w:pPr>
        <w:spacing w:after="80"/>
        <w:ind w:left="288" w:hanging="288"/>
      </w:pPr>
      <w:r>
        <w:rPr>
          <w:b/>
        </w:rPr>
        <w:t xml:space="preserve">7. Abrir Eventos de auditoria. </w:t>
      </w:r>
      <w:r>
        <w:t>Esperado: Alterações de usuários, permissões, documentos e configurações ficam rastreáveis.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u-ri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B6573"/>
          <w:sz w:val="16"/>
        </w:rPr>
        <w:t>Print de referência: Usuários e perfis.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746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uracoes-assets-tena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4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B6573"/>
          <w:sz w:val="16"/>
        </w:rPr>
        <w:t>Print de referência: identidade visual e assets do tenant.</w:t>
      </w:r>
    </w:p>
    <w:p>
      <w:pPr>
        <w:pStyle w:val="Heading1"/>
        <w:keepNext/>
      </w:pPr>
      <w:r>
        <w:rPr>
          <w:rFonts w:ascii="Arial" w:hAnsi="Arial"/>
          <w:color w:val="087F5B"/>
        </w:rPr>
        <w:t>4. Comercial: cliente, catálogo, proposta, minuta e contrato</w:t>
      </w:r>
    </w:p>
    <w:p>
      <w:pPr>
        <w:spacing w:after="120"/>
        <w:ind w:firstLine="360"/>
        <w:jc w:val="left"/>
      </w:pPr>
      <w:r>
        <w:t>O fluxo comercial deve começar pelo cadastro ou revisão do cliente e do catálogo. A proposta é enviada e, após aprovação, gera contrato/minuta para liberar a operação.</w:t>
      </w:r>
    </w:p>
    <w:p>
      <w:pPr>
        <w:spacing w:after="80"/>
        <w:ind w:left="288" w:hanging="288"/>
      </w:pPr>
      <w:r>
        <w:rPr>
          <w:b/>
        </w:rPr>
        <w:t xml:space="preserve">1. Abrir Comercial &gt; Clientes e localizar o cliente de teste. </w:t>
      </w:r>
      <w:r>
        <w:t>Esperado: Razão social, CNPJ, endereço e contatos aparecem corretos.</w:t>
      </w:r>
    </w:p>
    <w:p>
      <w:pPr>
        <w:spacing w:after="80"/>
        <w:ind w:left="288" w:hanging="288"/>
      </w:pPr>
      <w:r>
        <w:rPr>
          <w:b/>
        </w:rPr>
        <w:t xml:space="preserve">2. Abrir Comercial &gt; Serviços e conferir produtos/serviços. </w:t>
      </w:r>
      <w:r>
        <w:t>Esperado: Descrição, unidade, recorrência, permite certificado e regras operacionais vêm do catálogo.</w:t>
      </w:r>
    </w:p>
    <w:p>
      <w:pPr>
        <w:spacing w:after="80"/>
        <w:ind w:left="288" w:hanging="288"/>
      </w:pPr>
      <w:r>
        <w:rPr>
          <w:b/>
        </w:rPr>
        <w:t xml:space="preserve">3. Criar uma proposta com cliente, itens, quantidades, vigência e condições. </w:t>
      </w:r>
      <w:r>
        <w:t>Esperado: A proposta salva como rascunho sem perder dados.</w:t>
      </w:r>
    </w:p>
    <w:p>
      <w:pPr>
        <w:spacing w:after="80"/>
        <w:ind w:left="288" w:hanging="288"/>
      </w:pPr>
      <w:r>
        <w:rPr>
          <w:b/>
        </w:rPr>
        <w:t xml:space="preserve">4. Visualizar e imprimir a proposta. </w:t>
      </w:r>
      <w:r>
        <w:t>Esperado: Layout institucional Ciperprag, Montserrat, acentuação, tabelas, cabeçalho, rodapé e paginação corretos.</w:t>
      </w:r>
    </w:p>
    <w:p>
      <w:pPr>
        <w:spacing w:after="80"/>
        <w:ind w:left="288" w:hanging="288"/>
      </w:pPr>
      <w:r>
        <w:rPr>
          <w:b/>
        </w:rPr>
        <w:t xml:space="preserve">5. Enviar/aprovar a proposta e gerar a minuta/contrato. </w:t>
      </w:r>
      <w:r>
        <w:t>Esperado: O contrato é derivado da proposta, sem redigitação desnecessária.</w:t>
      </w:r>
    </w:p>
    <w:p>
      <w:pPr>
        <w:spacing w:after="80"/>
        <w:ind w:left="288" w:hanging="288"/>
      </w:pPr>
      <w:r>
        <w:rPr>
          <w:b/>
        </w:rPr>
        <w:t xml:space="preserve">6. Conferir cláusulas, periodicidade, reajuste, rescisão, condições comerciais e assinaturas. </w:t>
      </w:r>
      <w:r>
        <w:t>Esperado: Campos parametrizáveis aparecem coerentes com o tenant e o cliente.</w:t>
      </w:r>
    </w:p>
    <w:p>
      <w:pPr>
        <w:spacing w:after="80"/>
        <w:ind w:left="288" w:hanging="288"/>
      </w:pPr>
      <w:r>
        <w:rPr>
          <w:b/>
        </w:rPr>
        <w:t xml:space="preserve">7. Visualizar/imprimir contrato e minuta. </w:t>
      </w:r>
      <w:r>
        <w:t>Esperado: Documentos não se sobrepõem, mantêm a ordem das seções e deixam assinatura legível.</w:t>
      </w:r>
    </w:p>
    <w:p>
      <w:pPr>
        <w:spacing w:after="80"/>
        <w:ind w:left="288" w:hanging="288"/>
      </w:pPr>
      <w:r>
        <w:rPr>
          <w:b/>
        </w:rPr>
        <w:t xml:space="preserve">8. Usar o caminho Contrato do cliente com um arquivo de referência. </w:t>
      </w:r>
      <w:r>
        <w:t>Esperado: O sistema aceita o modelo do cliente e integra os itens ao operacional.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B6573"/>
          <w:sz w:val="16"/>
        </w:rPr>
        <w:t>Print de referência: Contratos e propostas.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746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checagem-visu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4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B6573"/>
          <w:sz w:val="16"/>
        </w:rPr>
        <w:t>Print de referência: atalhos e fluxo recomendado.</w:t>
      </w:r>
    </w:p>
    <w:p>
      <w:pPr>
        <w:pStyle w:val="Heading1"/>
        <w:keepNext/>
      </w:pPr>
      <w:r>
        <w:rPr>
          <w:rFonts w:ascii="Arial" w:hAnsi="Arial"/>
          <w:color w:val="087F5B"/>
        </w:rPr>
        <w:t>5. Operacional: agenda, equipes e OS</w:t>
      </w:r>
    </w:p>
    <w:p>
      <w:pPr>
        <w:spacing w:after="120"/>
        <w:ind w:firstLine="360"/>
        <w:jc w:val="left"/>
      </w:pPr>
      <w:r>
        <w:t>O Operacional não deve expor valores comerciais ou negociação. Ele recebe contratos vigentes e saldo operacional, organiza agenda/equipe/veículo e conduz a execução de campo.</w:t>
      </w:r>
    </w:p>
    <w:p>
      <w:pPr>
        <w:spacing w:after="80"/>
        <w:ind w:left="288" w:hanging="288"/>
      </w:pPr>
      <w:r>
        <w:rPr>
          <w:b/>
        </w:rPr>
        <w:t xml:space="preserve">1. Abrir Agendamentos e filtrar mês, semana, ano e cliente. </w:t>
      </w:r>
      <w:r>
        <w:t>Esperado: Calendário e filtros mostram o período escolhido, em formato brasileiro.</w:t>
      </w:r>
    </w:p>
    <w:p>
      <w:pPr>
        <w:spacing w:after="80"/>
        <w:ind w:left="288" w:hanging="288"/>
      </w:pPr>
      <w:r>
        <w:rPr>
          <w:b/>
        </w:rPr>
        <w:t xml:space="preserve">2. Criar agendamento a partir de contrato vigente. </w:t>
      </w:r>
      <w:r>
        <w:t>Esperado: Somente itens com saldo operacional disponível aparecem.</w:t>
      </w:r>
    </w:p>
    <w:p>
      <w:pPr>
        <w:spacing w:after="80"/>
        <w:ind w:left="288" w:hanging="288"/>
      </w:pPr>
      <w:r>
        <w:rPr>
          <w:b/>
        </w:rPr>
        <w:t xml:space="preserve">3. Definir data, local, técnicos, veículo e tags/equipamentos. </w:t>
      </w:r>
      <w:r>
        <w:t>Esperado: A equipe e os recursos ficam visíveis no detalhe do agendamento.</w:t>
      </w:r>
    </w:p>
    <w:p>
      <w:pPr>
        <w:spacing w:after="80"/>
        <w:ind w:left="288" w:hanging="288"/>
      </w:pPr>
      <w:r>
        <w:rPr>
          <w:b/>
        </w:rPr>
        <w:t xml:space="preserve">4. Clicar no evento do calendário. </w:t>
      </w:r>
      <w:r>
        <w:t>Esperado: Abre detalhe contextual sem parecer que uma tela foi empilhada sobre outra.</w:t>
      </w:r>
    </w:p>
    <w:p>
      <w:pPr>
        <w:spacing w:after="80"/>
        <w:ind w:left="288" w:hanging="288"/>
      </w:pPr>
      <w:r>
        <w:rPr>
          <w:b/>
        </w:rPr>
        <w:t xml:space="preserve">5. Gerar OS e imprimir a via de campo. </w:t>
      </w:r>
      <w:r>
        <w:t>Esperado: OS usa numeração automática, dados dinâmicos e layout Ciperprag aprovado.</w:t>
      </w:r>
    </w:p>
    <w:p>
      <w:pPr>
        <w:spacing w:after="80"/>
        <w:ind w:left="288" w:hanging="288"/>
      </w:pPr>
      <w:r>
        <w:rPr>
          <w:b/>
        </w:rPr>
        <w:t xml:space="preserve">6. Abrir Ordens de serviço e conferir cliente, serviço, local, equipe e tag. </w:t>
      </w:r>
      <w:r>
        <w:t>Esperado: A OS corresponde exatamente ao agendamento e ao contrato.</w:t>
      </w:r>
    </w:p>
    <w:p>
      <w:pPr>
        <w:spacing w:after="80"/>
        <w:ind w:left="288" w:hanging="288"/>
      </w:pPr>
      <w:r>
        <w:rPr>
          <w:b/>
        </w:rPr>
        <w:t xml:space="preserve">7. Encerrar a OS com data, quantidade, tag, checklist e até três fotos. </w:t>
      </w:r>
      <w:r>
        <w:t>Esperado: A OS encerra sem erro de API e as fotos ficam vinculadas ao tenant/OS.</w:t>
      </w:r>
    </w:p>
    <w:p>
      <w:pPr>
        <w:spacing w:after="80"/>
        <w:ind w:left="288" w:hanging="288"/>
      </w:pPr>
      <w:r>
        <w:rPr>
          <w:b/>
        </w:rPr>
        <w:t xml:space="preserve">8. Registrar não execução quando aplicável. </w:t>
      </w:r>
      <w:r>
        <w:t>Esperado: O motivo fica registrado e não gera baixa indevida.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dament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B6573"/>
          <w:sz w:val="16"/>
        </w:rPr>
        <w:t>Print de referência: Agendamentos.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B6573"/>
          <w:sz w:val="16"/>
        </w:rPr>
        <w:t>Print de referência: Ordens de serviço.</w:t>
      </w:r>
    </w:p>
    <w:p>
      <w:pPr>
        <w:pStyle w:val="Heading1"/>
        <w:keepNext/>
      </w:pPr>
      <w:r>
        <w:rPr>
          <w:rFonts w:ascii="Arial" w:hAnsi="Arial"/>
          <w:color w:val="087F5B"/>
        </w:rPr>
        <w:t>6. Qualidade: certificado, QR Code, histórico e relatório</w:t>
      </w:r>
    </w:p>
    <w:p>
      <w:pPr>
        <w:spacing w:after="120"/>
        <w:ind w:firstLine="360"/>
        <w:jc w:val="left"/>
      </w:pPr>
      <w:r>
        <w:t>O certificado deve ser derivado da mesma OS, do mesmo tenant e do mesmo snapshot. Não pode misturar cliente, serviço, título, produtos, fotos ou responsável de registros diferentes.</w:t>
      </w:r>
    </w:p>
    <w:p>
      <w:pPr>
        <w:spacing w:after="80"/>
        <w:ind w:left="288" w:hanging="288"/>
      </w:pPr>
      <w:r>
        <w:rPr>
          <w:b/>
        </w:rPr>
        <w:t xml:space="preserve">1. Abrir Certificados e histórico. </w:t>
      </w:r>
      <w:r>
        <w:t>Esperado: Serviços encerrados aparecem; serviços sem certificado também permanecem no histórico.</w:t>
      </w:r>
    </w:p>
    <w:p>
      <w:pPr>
        <w:spacing w:after="80"/>
        <w:ind w:left="288" w:hanging="288"/>
      </w:pPr>
      <w:r>
        <w:rPr>
          <w:b/>
        </w:rPr>
        <w:t xml:space="preserve">2. Gerar certificado de uma OS cujo serviço permite emissão. </w:t>
      </w:r>
      <w:r>
        <w:t>Esperado: Cliente, CNPJ, serviço, OS, execução, tag, local, fotos e responsável são coerentes.</w:t>
      </w:r>
    </w:p>
    <w:p>
      <w:pPr>
        <w:spacing w:after="80"/>
        <w:ind w:left="288" w:hanging="288"/>
      </w:pPr>
      <w:r>
        <w:rPr>
          <w:b/>
        </w:rPr>
        <w:t xml:space="preserve">3. Conferir o quadro de autenticidade. </w:t>
      </w:r>
      <w:r>
        <w:t>Esperado: Número do certificado, OS, data, QR Code, código curto e fingerprint SHA-256 aparecem legíveis.</w:t>
      </w:r>
    </w:p>
    <w:p>
      <w:pPr>
        <w:spacing w:after="80"/>
        <w:ind w:left="288" w:hanging="288"/>
      </w:pPr>
      <w:r>
        <w:rPr>
          <w:b/>
        </w:rPr>
        <w:t xml:space="preserve">4. Ler o QR Code em tela e em papel A4. </w:t>
      </w:r>
      <w:r>
        <w:t>Esperado: A rota pública abre exatamente o certificado correspondente.</w:t>
      </w:r>
    </w:p>
    <w:p>
      <w:pPr>
        <w:spacing w:after="80"/>
        <w:ind w:left="288" w:hanging="288"/>
      </w:pPr>
      <w:r>
        <w:rPr>
          <w:b/>
        </w:rPr>
        <w:t xml:space="preserve">5. Testar certificado com zero, uma e até três fotos. </w:t>
      </w:r>
      <w:r>
        <w:t>Esperado: Fotos não deformam, não criam espaços vazios indevidos e não ultrapassam o limite.</w:t>
      </w:r>
    </w:p>
    <w:p>
      <w:pPr>
        <w:spacing w:after="80"/>
        <w:ind w:left="288" w:hanging="288"/>
      </w:pPr>
      <w:r>
        <w:rPr>
          <w:b/>
        </w:rPr>
        <w:t xml:space="preserve">6. Abrir Relatórios técnicos e gerar um relatório. </w:t>
      </w:r>
      <w:r>
        <w:t>Esperado: O relatório usa dados da OS e mantém cabeçalho/rodapé e acentuação.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rtificad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B6573"/>
          <w:sz w:val="16"/>
        </w:rPr>
        <w:t>Print de referência: Certificados e histórico.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746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da-visao-mens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4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B6573"/>
          <w:sz w:val="16"/>
        </w:rPr>
        <w:t>Print de referência: navegação visual em homologação.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5F1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/>
            <w:r>
              <w:rPr>
                <w:b/>
                <w:color w:val="087F5B"/>
              </w:rPr>
              <w:t>Teste antifraude</w:t>
            </w:r>
          </w:p>
          <w:p>
            <w:pPr>
              <w:spacing w:after="0"/>
            </w:pPr>
            <w:r>
              <w:t>Use pelo menos dois aparelhos para ler QR Codes de dois certificados diferentes. Registre o número retornado e confirme que não houve troca entre documentos.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" w:hAnsi="Arial"/>
          <w:color w:val="087F5B"/>
        </w:rPr>
        <w:t>7. Financeiro operacional: medição e acompanhamento até o ERP</w:t>
      </w:r>
    </w:p>
    <w:p>
      <w:pPr>
        <w:spacing w:after="120"/>
        <w:ind w:firstLine="360"/>
        <w:jc w:val="left"/>
      </w:pPr>
      <w:r>
        <w:t>Este módulo não substitui contas a pagar/receber. Ele consolida serviços executados, gera medição e acompanha NF, pagamento e necessidade de cobrança até a baixa manual no ERP.</w:t>
      </w:r>
    </w:p>
    <w:p>
      <w:pPr>
        <w:spacing w:after="80"/>
        <w:ind w:left="288" w:hanging="288"/>
      </w:pPr>
      <w:r>
        <w:rPr>
          <w:b/>
        </w:rPr>
        <w:t xml:space="preserve">1. Abrir Medição e selecionar cliente e intervalo de datas. </w:t>
      </w:r>
      <w:r>
        <w:t>Esperado: A tela mostra somente OS encerradas, elegíveis e ainda não medidas.</w:t>
      </w:r>
    </w:p>
    <w:p>
      <w:pPr>
        <w:spacing w:after="80"/>
        <w:ind w:left="288" w:hanging="288"/>
      </w:pPr>
      <w:r>
        <w:rPr>
          <w:b/>
        </w:rPr>
        <w:t xml:space="preserve">2. Gerar a medição. </w:t>
      </w:r>
      <w:r>
        <w:t>Esperado: Itens, quantidades, unidades, valores e total correspondem às OS e ao contrato.</w:t>
      </w:r>
    </w:p>
    <w:p>
      <w:pPr>
        <w:spacing w:after="80"/>
        <w:ind w:left="288" w:hanging="288"/>
      </w:pPr>
      <w:r>
        <w:rPr>
          <w:b/>
        </w:rPr>
        <w:t xml:space="preserve">3. Visualizar/imprimir o PDF. </w:t>
      </w:r>
      <w:r>
        <w:t>Esperado: PDF A4 retrato, Montserrat incorporada, sem cortes, com logo e dados dinâmicos do tenant.</w:t>
      </w:r>
    </w:p>
    <w:p>
      <w:pPr>
        <w:spacing w:after="80"/>
        <w:ind w:left="288" w:hanging="288"/>
      </w:pPr>
      <w:r>
        <w:rPr>
          <w:b/>
        </w:rPr>
        <w:t xml:space="preserve">4. Alterar para Aguardando NF e registrar número/data de envio. </w:t>
      </w:r>
      <w:r>
        <w:t>Esperado: O acompanhamento fica salvo e auditável.</w:t>
      </w:r>
    </w:p>
    <w:p>
      <w:pPr>
        <w:spacing w:after="80"/>
        <w:ind w:left="288" w:hanging="288"/>
      </w:pPr>
      <w:r>
        <w:rPr>
          <w:b/>
        </w:rPr>
        <w:t xml:space="preserve">5. Alterar para NF enviada, Aguardando pagamento e Pago no ERP. </w:t>
      </w:r>
      <w:r>
        <w:t>Esperado: O status acompanha a situação sem criar contas financeiras paralelas.</w:t>
      </w:r>
    </w:p>
    <w:p>
      <w:pPr>
        <w:spacing w:after="80"/>
        <w:ind w:left="288" w:hanging="288"/>
      </w:pPr>
      <w:r>
        <w:rPr>
          <w:b/>
        </w:rPr>
        <w:t xml:space="preserve">6. Testar uma medição com vários itens e uma com nomes extensos. </w:t>
      </w:r>
      <w:r>
        <w:t>Esperado: Paginação, totais, assinaturas e rastreabilidade permanecem íntegros.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-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B6573"/>
          <w:sz w:val="16"/>
        </w:rPr>
        <w:t>Print de referência: Medição.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746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cao-checagem-visu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4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B6573"/>
          <w:sz w:val="16"/>
        </w:rPr>
        <w:t>Print de referência: medição em validação visual.</w:t>
      </w:r>
    </w:p>
    <w:p>
      <w:pPr>
        <w:pStyle w:val="Heading1"/>
        <w:keepNext/>
      </w:pPr>
      <w:r>
        <w:rPr>
          <w:rFonts w:ascii="Arial" w:hAnsi="Arial"/>
          <w:color w:val="087F5B"/>
        </w:rPr>
        <w:t>8. Recorrência e continuidade do fluxo</w:t>
      </w:r>
    </w:p>
    <w:p>
      <w:pPr>
        <w:spacing w:after="80"/>
        <w:ind w:left="288" w:hanging="288"/>
      </w:pPr>
      <w:r>
        <w:rPr>
          <w:b/>
        </w:rPr>
        <w:t xml:space="preserve">1. Encerrar uma OS de serviço recorrente. </w:t>
      </w:r>
      <w:r>
        <w:t>Esperado: O sistema calcula uma sugestão de próxima data.</w:t>
      </w:r>
    </w:p>
    <w:p>
      <w:pPr>
        <w:spacing w:after="80"/>
        <w:ind w:left="288" w:hanging="288"/>
      </w:pPr>
      <w:r>
        <w:rPr>
          <w:b/>
        </w:rPr>
        <w:t xml:space="preserve">2. Abrir Dashboard ou Agendamentos e revisar a sugestão. </w:t>
      </w:r>
      <w:r>
        <w:t>Esperado: Cliente, serviço, intervalo e data sugerida ficam claros.</w:t>
      </w:r>
    </w:p>
    <w:p>
      <w:pPr>
        <w:spacing w:after="80"/>
        <w:ind w:left="288" w:hanging="288"/>
      </w:pPr>
      <w:r>
        <w:rPr>
          <w:b/>
        </w:rPr>
        <w:t xml:space="preserve">3. Confirmar a sugestão. </w:t>
      </w:r>
      <w:r>
        <w:t>Esperado: Um novo agendamento entra na agenda sem refazer o cadastro.</w:t>
      </w:r>
    </w:p>
    <w:p>
      <w:pPr>
        <w:spacing w:after="80"/>
        <w:ind w:left="288" w:hanging="288"/>
      </w:pPr>
      <w:r>
        <w:rPr>
          <w:b/>
        </w:rPr>
        <w:t xml:space="preserve">4. Dispensar uma sugestão. </w:t>
      </w:r>
      <w:r>
        <w:t>Esperado: Nenhum agendamento indevido é criado e a ação fica registrada quando aplicável.</w:t>
      </w:r>
    </w:p>
    <w:p>
      <w:pPr>
        <w:pStyle w:val="Heading1"/>
        <w:keepNext/>
      </w:pPr>
      <w:r>
        <w:rPr>
          <w:rFonts w:ascii="Arial" w:hAnsi="Arial"/>
          <w:color w:val="087F5B"/>
        </w:rPr>
        <w:t>9. Isolamento SaaS e identidade documental</w:t>
      </w:r>
    </w:p>
    <w:p>
      <w:pPr>
        <w:spacing w:after="120"/>
        <w:ind w:firstLine="360"/>
        <w:jc w:val="left"/>
      </w:pPr>
      <w:r>
        <w:t>Esta rodada deve confirmar que Ciperprag não é uma marca fixa do produto. A tela de login é Atenza FieldOps; após o login, sidebar e documentos usam os assets do tenant. O teste deve ser executado também com empresa demonstração e tenant sem logo, quando as contas estiverem disponíveis.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87F5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Cenário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87F5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Conferir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Ciperprag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Logo, CNPJ, contatos, cor documental e assinatura da Ciperprag apenas em documentos do tenant.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Empresa demonstração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Logo/dados fictícios, sem reaproveitar CNPJ, telefone ou e-mail Ciperprag.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Tenant sem logo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Layout neutro, sem retângulo quebrado, sem fallback fixo da Ciperprag.</w:t>
            </w:r>
          </w:p>
        </w:tc>
      </w:tr>
    </w:tbl>
    <w:p>
      <w:pPr>
        <w:spacing w:after="4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-saas-sem-ciperpra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B6573"/>
          <w:sz w:val="16"/>
        </w:rPr>
        <w:t>Print de referência: login neutro da plataforma SaaS.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sidebar-logo-tenan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B6573"/>
          <w:sz w:val="16"/>
        </w:rPr>
        <w:t>Print de referência: logo do tenant após autenticação.</w:t>
      </w:r>
    </w:p>
    <w:p>
      <w:pPr>
        <w:pStyle w:val="Heading1"/>
        <w:keepNext/>
      </w:pPr>
      <w:r>
        <w:rPr>
          <w:rFonts w:ascii="Arial" w:hAnsi="Arial"/>
          <w:color w:val="087F5B"/>
        </w:rPr>
        <w:t>10. Matriz consolidada de aceite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87F5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87F5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43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87F5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Resultado esperado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87F5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87F5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Observação/evidência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ADM-01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Login e ambiente</w:t>
            </w:r>
          </w:p>
        </w:tc>
        <w:tc>
          <w:tcPr>
            <w:tcW w:type="dxa" w:w="43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Badge Homologação e versão visíveis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Pendente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ADM-02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Usuários e perfis</w:t>
            </w:r>
          </w:p>
        </w:tc>
        <w:tc>
          <w:tcPr>
            <w:tcW w:type="dxa" w:w="43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Papel e permissões respeitados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Pendente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ADM-03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Assets e numeração</w:t>
            </w:r>
          </w:p>
        </w:tc>
        <w:tc>
          <w:tcPr>
            <w:tcW w:type="dxa" w:w="43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Configuração salva e aplicada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Pendente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COM-01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Cliente e catálogo</w:t>
            </w:r>
          </w:p>
        </w:tc>
        <w:tc>
          <w:tcPr>
            <w:tcW w:type="dxa" w:w="43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Dados usados nos documentos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Pendente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COM-02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Proposta</w:t>
            </w:r>
          </w:p>
        </w:tc>
        <w:tc>
          <w:tcPr>
            <w:tcW w:type="dxa" w:w="43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Criar, salvar, imprimir e aprovar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Pendente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COM-03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Minuta/contrato</w:t>
            </w:r>
          </w:p>
        </w:tc>
        <w:tc>
          <w:tcPr>
            <w:tcW w:type="dxa" w:w="43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Gerar após aprovação ou importar cliente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Pendente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OP-01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Agendamento</w:t>
            </w:r>
          </w:p>
        </w:tc>
        <w:tc>
          <w:tcPr>
            <w:tcW w:type="dxa" w:w="43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Contrato vigente, saldo, equipe e veículo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Pendente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OP-02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OS</w:t>
            </w:r>
          </w:p>
        </w:tc>
        <w:tc>
          <w:tcPr>
            <w:tcW w:type="dxa" w:w="43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Gerar, imprimir, editar e conferir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Pendente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OP-03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Encerramento</w:t>
            </w:r>
          </w:p>
        </w:tc>
        <w:tc>
          <w:tcPr>
            <w:tcW w:type="dxa" w:w="43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Data, quantidade, tag, checklist e até 3 fotos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Pendente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QL-01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Certificado</w:t>
            </w:r>
          </w:p>
        </w:tc>
        <w:tc>
          <w:tcPr>
            <w:tcW w:type="dxa" w:w="43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Dados da mesma OS, logo e Montserrat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Pendente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QL-02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QR/histórico</w:t>
            </w:r>
          </w:p>
        </w:tc>
        <w:tc>
          <w:tcPr>
            <w:tcW w:type="dxa" w:w="43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Validação pública e serviços sem certificado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Pendente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QL-03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Relatório</w:t>
            </w:r>
          </w:p>
        </w:tc>
        <w:tc>
          <w:tcPr>
            <w:tcW w:type="dxa" w:w="43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Dados técnicos e PDF íntegro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Pendente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FIN-01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Medição</w:t>
            </w:r>
          </w:p>
        </w:tc>
        <w:tc>
          <w:tcPr>
            <w:tcW w:type="dxa" w:w="43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OS elegíveis por período e baixa contratual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Pendente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FIN-02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Status financeiro</w:t>
            </w:r>
          </w:p>
        </w:tc>
        <w:tc>
          <w:tcPr>
            <w:tcW w:type="dxa" w:w="43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NF, pagamento, cobrança e ERP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Pendente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OP-04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Recorrência</w:t>
            </w:r>
          </w:p>
        </w:tc>
        <w:tc>
          <w:tcPr>
            <w:tcW w:type="dxa" w:w="43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Sugestão confirmada vira agenda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Pendente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SAAS-01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Isolamento</w:t>
            </w:r>
          </w:p>
        </w:tc>
        <w:tc>
          <w:tcPr>
            <w:tcW w:type="dxa" w:w="43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Sem vazamento entre tenants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Pendente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DOC-01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Documentos</w:t>
            </w:r>
          </w:p>
        </w:tc>
        <w:tc>
          <w:tcPr>
            <w:tcW w:type="dxa" w:w="43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Paginação, acentos, logo, rodapé e assinaturas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Pendente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R2-01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Anexos</w:t>
            </w:r>
          </w:p>
        </w:tc>
        <w:tc>
          <w:tcPr>
            <w:tcW w:type="dxa" w:w="43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Visualização/download e SHA-256 íntegro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Pendente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" w:hAnsi="Arial"/>
          <w:color w:val="087F5B"/>
        </w:rPr>
        <w:t>11. Registro de problemas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87F5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87F5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Perfil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87F5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Passo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87F5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Problema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87F5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Severidade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87F5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HML-001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Alta/Média/Baixa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Aberto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HML-002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Alta/Média/Baixa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Aberto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HML-003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Alta/Média/Baixa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Aberto</w:t>
            </w:r>
          </w:p>
        </w:tc>
      </w:tr>
    </w:tbl>
    <w:p>
      <w:pPr>
        <w:spacing w:after="40"/>
      </w:pPr>
    </w:p>
    <w:p>
      <w:pPr>
        <w:spacing w:after="120"/>
        <w:ind w:firstLine="360"/>
        <w:jc w:val="left"/>
      </w:pPr>
      <w:r>
        <w:t>Um problema é Alta quando impede o fluxo, mistura dados, perde evidência ou gera documento incorreto; Média quando há contorno seguro, mas a tela confunde; Baixa quando é texto, acentuação, alinhamento ou melhoria de conveniência.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5F1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/>
            <w:r>
              <w:rPr>
                <w:b/>
                <w:color w:val="087F5B"/>
              </w:rPr>
              <w:t>Mensagem para o grupo</w:t>
            </w:r>
          </w:p>
          <w:p>
            <w:pPr>
              <w:spacing w:after="0"/>
            </w:pPr>
            <w:r>
              <w:t>A equipe pode usar a homologação para validar o fluxo completo do Atenza FieldOps. Por favor, registrem cada resultado no roteiro e enviem o DOCX preenchido ao final. Não enviem ocorrências soltas no grupo de WhatsApp, pois o documento facilita o mapeamento e a correção.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" w:hAnsi="Arial"/>
          <w:color w:val="087F5B"/>
        </w:rPr>
        <w:t>12. Critério de encerramento da rodada</w:t>
      </w:r>
    </w:p>
    <w:p>
      <w:pPr>
        <w:pStyle w:val="ListBullet"/>
        <w:spacing w:after="60"/>
      </w:pPr>
      <w:r>
        <w:t>Todos os IDs da matriz foram classificados como Aprovado, Aprovado com observação, Reprovado ou Não testado.</w:t>
      </w:r>
    </w:p>
    <w:p>
      <w:pPr>
        <w:pStyle w:val="ListBullet"/>
        <w:spacing w:after="60"/>
      </w:pPr>
      <w:r>
        <w:t>Toda reprovação possui print, número do documento ou URL e descrição reproduzível.</w:t>
      </w:r>
    </w:p>
    <w:p>
      <w:pPr>
        <w:pStyle w:val="ListBullet"/>
        <w:spacing w:after="60"/>
      </w:pPr>
      <w:r>
        <w:t>Documentos foram conferidos visualmente, incluindo OS, proposta, minuta, contrato, certificado, relatório e medição.</w:t>
      </w:r>
    </w:p>
    <w:p>
      <w:pPr>
        <w:pStyle w:val="ListBullet"/>
        <w:spacing w:after="60"/>
      </w:pPr>
      <w:r>
        <w:t>QR Codes foram lidos em tela e em papel quando possível.</w:t>
      </w:r>
    </w:p>
    <w:p>
      <w:pPr>
        <w:pStyle w:val="ListBullet"/>
        <w:spacing w:after="60"/>
      </w:pPr>
      <w:r>
        <w:t>A equipe enviou o DOCX preenchido e os anexos de evidência para consolidação pela Atenza.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B6573"/>
        <w:sz w:val="16"/>
      </w:rPr>
      <w:t>Atenza FieldOps | Homologação | Roteiro v1.6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4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87F5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420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87F5B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Completo de Validação Atenza FieldOps - Ciperprag</dc:title>
  <dc:subject>Homologação funcional, visual e SaaS</dc:subject>
  <dc:creator>Atenza</dc:creator>
  <cp:keywords/>
  <dc:description>Versão 1.6 - homologação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