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DDD4" w14:textId="77777777" w:rsidR="00540D1F" w:rsidRDefault="003C21B6">
      <w:pPr>
        <w:spacing w:after="140"/>
        <w:rPr>
          <w:rFonts w:hint="eastAsia"/>
        </w:rPr>
      </w:pPr>
      <w:r>
        <w:rPr>
          <w:rFonts w:ascii="Nortica Typeface Bold" w:hAnsi="Nortica Typeface Bold"/>
          <w:color w:val="3850A0"/>
          <w:sz w:val="18"/>
        </w:rPr>
        <w:t>DOCUMENTO INSTITUCIONAL</w:t>
      </w:r>
    </w:p>
    <w:p w14:paraId="383BD340" w14:textId="77777777" w:rsidR="00540D1F" w:rsidRDefault="003C21B6">
      <w:pPr>
        <w:spacing w:after="160"/>
        <w:rPr>
          <w:rFonts w:hint="eastAsia"/>
        </w:rPr>
      </w:pPr>
      <w:r>
        <w:rPr>
          <w:rFonts w:ascii="Neue Power Ultra" w:hAnsi="Neue Power Ultra"/>
          <w:color w:val="030409"/>
          <w:sz w:val="52"/>
        </w:rPr>
        <w:t>Alinhamento de Melhorias e Estimativa</w:t>
      </w:r>
    </w:p>
    <w:p w14:paraId="6A2411CB" w14:textId="77777777" w:rsidR="00540D1F" w:rsidRDefault="003C21B6">
      <w:pPr>
        <w:spacing w:after="320"/>
        <w:rPr>
          <w:rFonts w:hint="eastAsia"/>
        </w:rPr>
      </w:pPr>
      <w:r>
        <w:rPr>
          <w:rFonts w:ascii="Nortica Typeface" w:hAnsi="Nortica Typeface"/>
          <w:color w:val="6B7280"/>
          <w:sz w:val="24"/>
        </w:rPr>
        <w:t>SmartDocPlan: confirmação do entendimento das melhorias do fluxo atual em homologação e previsão de execução por etapas.</w:t>
      </w:r>
    </w:p>
    <w:p w14:paraId="04CB86E5" w14:textId="77777777" w:rsidR="00540D1F" w:rsidRDefault="003C21B6">
      <w:pPr>
        <w:spacing w:before="280" w:after="160"/>
        <w:rPr>
          <w:rFonts w:hint="eastAsia"/>
        </w:rPr>
      </w:pPr>
      <w:r>
        <w:rPr>
          <w:rFonts w:ascii="Neue Power Ultra" w:hAnsi="Neue Power Ultra"/>
          <w:color w:val="030409"/>
          <w:sz w:val="30"/>
        </w:rPr>
        <w:t>Ficha do projeto</w:t>
      </w:r>
    </w:p>
    <w:tbl>
      <w:tblPr>
        <w:tblStyle w:val="Tabelacomgrade"/>
        <w:tblW w:w="9639" w:type="dxa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540D1F" w14:paraId="178B323C" w14:textId="77777777"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F02B31F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59E5B04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7168F7A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Responsável Atenza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Ewerton Gomes Almeida</w:t>
            </w:r>
          </w:p>
        </w:tc>
      </w:tr>
      <w:tr w:rsidR="00540D1F" w14:paraId="6BCA7F57" w14:textId="77777777">
        <w:tc>
          <w:tcPr>
            <w:tcW w:w="3213" w:type="dxa"/>
            <w:shd w:val="clear" w:color="auto" w:fill="EE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212E56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Responsável pelo cliente / ponto focal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Equipe SmartDocPlan</w:t>
            </w:r>
          </w:p>
        </w:tc>
        <w:tc>
          <w:tcPr>
            <w:tcW w:w="3213" w:type="dxa"/>
            <w:shd w:val="clear" w:color="auto" w:fill="EE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9F6ECA5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Versão do documento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v1.0</w:t>
            </w:r>
          </w:p>
        </w:tc>
        <w:tc>
          <w:tcPr>
            <w:tcW w:w="3213" w:type="dxa"/>
            <w:shd w:val="clear" w:color="auto" w:fill="EE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0E13C1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Data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25/08/2026</w:t>
            </w:r>
          </w:p>
        </w:tc>
      </w:tr>
      <w:tr w:rsidR="00540D1F" w14:paraId="31F7C88D" w14:textId="77777777"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2840FA9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Status geral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Em homologação - ajustes em análise</w:t>
            </w:r>
          </w:p>
        </w:tc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F59A554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Ambiente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Homologação</w:t>
            </w:r>
          </w:p>
        </w:tc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D2866AD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Próxima 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Validar entendimento e premissas</w:t>
            </w:r>
          </w:p>
        </w:tc>
      </w:tr>
      <w:tr w:rsidR="00540D1F" w14:paraId="5E73789B" w14:textId="77777777">
        <w:tc>
          <w:tcPr>
            <w:tcW w:w="3213" w:type="dxa"/>
            <w:shd w:val="clear" w:color="auto" w:fill="EE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9D58A90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Confirmação das regras de negócio críticas</w:t>
            </w:r>
          </w:p>
        </w:tc>
        <w:tc>
          <w:tcPr>
            <w:tcW w:w="3213" w:type="dxa"/>
            <w:shd w:val="clear" w:color="auto" w:fill="EE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03178C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Entregue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Análise das melhorias solicitadas</w:t>
            </w:r>
          </w:p>
        </w:tc>
        <w:tc>
          <w:tcPr>
            <w:tcW w:w="3213" w:type="dxa"/>
            <w:shd w:val="clear" w:color="auto" w:fill="EE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4F32230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Pendente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Validação do cliente e priorização</w:t>
            </w:r>
          </w:p>
        </w:tc>
      </w:tr>
      <w:tr w:rsidR="00540D1F" w14:paraId="4CC29BDD" w14:textId="77777777"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EE6C51A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Risco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Decisões pendentes podem alterar a previsão</w:t>
            </w:r>
          </w:p>
        </w:tc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6243469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5"/>
              </w:rPr>
              <w:t>Depende de aprovação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Sim, para início das etapas correspondentes</w:t>
            </w:r>
          </w:p>
        </w:tc>
        <w:tc>
          <w:tcPr>
            <w:tcW w:w="3213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5FB824C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br/>
            </w:r>
          </w:p>
        </w:tc>
      </w:tr>
      <w:tr w:rsidR="00540D1F" w14:paraId="11AC461F" w14:textId="77777777">
        <w:tc>
          <w:tcPr>
            <w:tcW w:w="3213" w:type="dxa"/>
            <w:shd w:val="clear" w:color="auto" w:fill="F2F2ED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0E249AC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8"/>
              </w:rPr>
              <w:t>STATUS</w:t>
            </w:r>
          </w:p>
        </w:tc>
        <w:tc>
          <w:tcPr>
            <w:tcW w:w="3213" w:type="dxa"/>
            <w:shd w:val="clear" w:color="auto" w:fill="F2F2ED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43123E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8"/>
              </w:rPr>
              <w:t>PRÃ“XIMA AÃ‡ÃƒO</w:t>
            </w:r>
          </w:p>
        </w:tc>
        <w:tc>
          <w:tcPr>
            <w:tcW w:w="3213" w:type="dxa"/>
            <w:shd w:val="clear" w:color="auto" w:fill="F2F2ED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C3B1548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3850A0"/>
                <w:sz w:val="18"/>
              </w:rPr>
              <w:t>DECISÃƒO AGUARDADA</w:t>
            </w:r>
          </w:p>
        </w:tc>
      </w:tr>
      <w:tr w:rsidR="00540D1F" w14:paraId="4887DA6B" w14:textId="77777777">
        <w:tc>
          <w:tcPr>
            <w:tcW w:w="3213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90ADA5F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030409"/>
                <w:sz w:val="18"/>
              </w:rPr>
              <w:t>Em homologação. O fluxo atual será aprimorado sem reposicioná-lo como um novo projeto.</w:t>
            </w:r>
          </w:p>
        </w:tc>
        <w:tc>
          <w:tcPr>
            <w:tcW w:w="3213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068307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Validar com a SmartDocPlan as regras que influenciam a ordem de execução e o prazo das melhorias.</w:t>
            </w:r>
          </w:p>
        </w:tc>
        <w:tc>
          <w:tcPr>
            <w:tcW w:w="3213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8177F9F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Confirmar os cinco temas listados neste documento para manter a previsão global de 16 semanas.</w:t>
            </w:r>
          </w:p>
        </w:tc>
      </w:tr>
    </w:tbl>
    <w:p w14:paraId="1ED304AE" w14:textId="77777777" w:rsidR="00540D1F" w:rsidRDefault="003C21B6">
      <w:pPr>
        <w:spacing w:before="320" w:after="180"/>
        <w:rPr>
          <w:rFonts w:hint="eastAsia"/>
        </w:rPr>
      </w:pPr>
      <w:r>
        <w:rPr>
          <w:rFonts w:ascii="Neue Power Ultra" w:hAnsi="Neue Power Ultra"/>
          <w:color w:val="030409"/>
          <w:sz w:val="32"/>
        </w:rPr>
        <w:t>1. Resumo executivo</w:t>
      </w:r>
    </w:p>
    <w:p w14:paraId="20673778" w14:textId="77777777" w:rsidR="00540D1F" w:rsidRDefault="003C21B6">
      <w:pPr>
        <w:spacing w:after="140" w:line="324" w:lineRule="auto"/>
        <w:ind w:firstLine="340"/>
        <w:jc w:val="both"/>
        <w:rPr>
          <w:rFonts w:hint="eastAsia"/>
        </w:rPr>
      </w:pPr>
      <w:r>
        <w:rPr>
          <w:rFonts w:ascii="Nortica Typeface" w:hAnsi="Nortica Typeface"/>
        </w:rPr>
        <w:t>A Atenza consolidou o entendimento das melhorias apresentadas para a versão atual do SmartDocPlan, que permanece em homologação. O objetivo é aprimorar o fluxo já existente de solicitações, documentos e dossiê, além de incluir as rotinas de férias e de atestados/afastamentos como evoluções integradas à plataforma.</w:t>
      </w:r>
    </w:p>
    <w:p w14:paraId="32C7A92C" w14:textId="77777777" w:rsidR="00540D1F" w:rsidRDefault="003C21B6">
      <w:pPr>
        <w:spacing w:before="320" w:after="180"/>
        <w:rPr>
          <w:rFonts w:hint="eastAsia"/>
        </w:rPr>
      </w:pPr>
      <w:r>
        <w:rPr>
          <w:rFonts w:ascii="Neue Power Ultra" w:hAnsi="Neue Power Ultra"/>
          <w:color w:val="030409"/>
          <w:sz w:val="32"/>
        </w:rPr>
        <w:lastRenderedPageBreak/>
        <w:t>2. Situação atual e entendimento</w:t>
      </w:r>
    </w:p>
    <w:tbl>
      <w:tblPr>
        <w:tblStyle w:val="Tabelacomgrade"/>
        <w:tblW w:w="9639" w:type="dxa"/>
        <w:tblLayout w:type="fixed"/>
        <w:tblLook w:val="04A0" w:firstRow="1" w:lastRow="0" w:firstColumn="1" w:lastColumn="0" w:noHBand="0" w:noVBand="1"/>
      </w:tblPr>
      <w:tblGrid>
        <w:gridCol w:w="2989"/>
        <w:gridCol w:w="2988"/>
        <w:gridCol w:w="3662"/>
      </w:tblGrid>
      <w:tr w:rsidR="00540D1F" w14:paraId="16794CF8" w14:textId="77777777">
        <w:tc>
          <w:tcPr>
            <w:tcW w:w="2988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0B1C7C4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Frente</w:t>
            </w:r>
          </w:p>
        </w:tc>
        <w:tc>
          <w:tcPr>
            <w:tcW w:w="2988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F496852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Status</w:t>
            </w:r>
          </w:p>
        </w:tc>
        <w:tc>
          <w:tcPr>
            <w:tcW w:w="3662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E33DB85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Entendimento Atenza</w:t>
            </w:r>
          </w:p>
        </w:tc>
      </w:tr>
      <w:tr w:rsidR="00540D1F" w14:paraId="7F03242B" w14:textId="77777777"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68A7CCB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Fluxo atual de solicitações</w:t>
            </w:r>
          </w:p>
        </w:tc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9E2422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</w:r>
          </w:p>
        </w:tc>
        <w:tc>
          <w:tcPr>
            <w:tcW w:w="366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81093CF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Já existe base de solicitações, documentos e dossiê; o ajuste é ampliar as regras automáticas e o histórico operacional.</w:t>
            </w:r>
          </w:p>
        </w:tc>
      </w:tr>
      <w:tr w:rsidR="00540D1F" w14:paraId="01FF13DC" w14:textId="77777777"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68F79C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Matriz legal e requisitos</w:t>
            </w:r>
          </w:p>
        </w:tc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93EF64C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</w:r>
          </w:p>
        </w:tc>
        <w:tc>
          <w:tcPr>
            <w:tcW w:w="366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F7B8DE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Já há requisitos por função; a evolução passa a considerar também processo e frente/local, com origem explicável.</w:t>
            </w:r>
          </w:p>
        </w:tc>
      </w:tr>
      <w:tr w:rsidR="00540D1F" w14:paraId="17427CB4" w14:textId="77777777"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1A9A2F5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Férias</w:t>
            </w:r>
          </w:p>
        </w:tc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3DD682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Evolução prevista</w:t>
            </w:r>
          </w:p>
        </w:tc>
        <w:tc>
          <w:tcPr>
            <w:tcW w:w="366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FF14DCC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Será incluído como módulo de gestão com calendário, programação, alertas, filtros e histórico.</w:t>
            </w:r>
          </w:p>
        </w:tc>
      </w:tr>
      <w:tr w:rsidR="00540D1F" w14:paraId="6936EDCC" w14:textId="77777777"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CB6C6F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Atestados e afastamentos</w:t>
            </w:r>
          </w:p>
        </w:tc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AFB5602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Evolução prevista</w:t>
            </w:r>
          </w:p>
        </w:tc>
        <w:tc>
          <w:tcPr>
            <w:tcW w:w="366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71F5CC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Será incluído como módulo com controle de retorno, anexos, histórico e permissões adequadas aos dados sensíveis.</w:t>
            </w:r>
          </w:p>
        </w:tc>
      </w:tr>
      <w:tr w:rsidR="00540D1F" w14:paraId="55495CF9" w14:textId="77777777"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B4D8B17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Notificações, BI e relatórios</w:t>
            </w:r>
          </w:p>
        </w:tc>
        <w:tc>
          <w:tcPr>
            <w:tcW w:w="2988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8DDE558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</w:r>
          </w:p>
        </w:tc>
        <w:tc>
          <w:tcPr>
            <w:tcW w:w="366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3B441B4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 central de notificações já existe; os indicadores, filtros e detalhamentos serão ampliados com as novas rotinas.</w:t>
            </w:r>
          </w:p>
        </w:tc>
      </w:tr>
    </w:tbl>
    <w:p w14:paraId="7A809A57" w14:textId="77777777" w:rsidR="00540D1F" w:rsidRDefault="003C21B6">
      <w:pPr>
        <w:spacing w:before="320" w:after="180"/>
        <w:rPr>
          <w:rFonts w:hint="eastAsia"/>
        </w:rPr>
      </w:pPr>
      <w:r>
        <w:rPr>
          <w:rFonts w:ascii="Neue Power Ultra" w:hAnsi="Neue Power Ultra"/>
          <w:color w:val="030409"/>
          <w:sz w:val="32"/>
        </w:rPr>
        <w:t>3. Fluxos de evolução</w:t>
      </w:r>
    </w:p>
    <w:p w14:paraId="32ADEC4C" w14:textId="77777777" w:rsidR="00540D1F" w:rsidRDefault="003C21B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7E792E" wp14:editId="19FB8300">
            <wp:extent cx="5806440" cy="1677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solicitacao_conformida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00A4" w14:textId="77777777" w:rsidR="00540D1F" w:rsidRDefault="003C21B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DD4DB2" wp14:editId="24FA966F">
            <wp:extent cx="5806440" cy="16774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rotinas_trabalhis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7608" w14:textId="77777777" w:rsidR="00540D1F" w:rsidRDefault="003C21B6">
      <w:pPr>
        <w:keepNext/>
        <w:spacing w:before="320" w:after="180"/>
        <w:rPr>
          <w:rFonts w:hint="eastAsia"/>
        </w:rPr>
      </w:pPr>
      <w:r>
        <w:rPr>
          <w:rFonts w:ascii="Neue Power Ultra" w:hAnsi="Neue Power Ultra"/>
          <w:color w:val="030409"/>
          <w:sz w:val="32"/>
        </w:rPr>
        <w:t>4. Melhorias priorizadas</w:t>
      </w:r>
    </w:p>
    <w:tbl>
      <w:tblPr>
        <w:tblStyle w:val="Tabelacomgrade"/>
        <w:tblW w:w="9639" w:type="dxa"/>
        <w:tblLayout w:type="fixed"/>
        <w:tblLook w:val="04A0" w:firstRow="1" w:lastRow="0" w:firstColumn="1" w:lastColumn="0" w:noHBand="0" w:noVBand="1"/>
      </w:tblPr>
      <w:tblGrid>
        <w:gridCol w:w="397"/>
        <w:gridCol w:w="9242"/>
      </w:tblGrid>
      <w:tr w:rsidR="00540D1F" w14:paraId="385BFE02" w14:textId="77777777">
        <w:tc>
          <w:tcPr>
            <w:tcW w:w="397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53504AB" w14:textId="77777777" w:rsidR="00540D1F" w:rsidRDefault="003C21B6">
            <w:pPr>
              <w:spacing w:before="20" w:after="20" w:line="269" w:lineRule="auto"/>
              <w:jc w:val="center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FFFFF"/>
                <w:sz w:val="18"/>
              </w:rPr>
              <w:t>1</w:t>
            </w:r>
          </w:p>
        </w:tc>
        <w:tc>
          <w:tcPr>
            <w:tcW w:w="9241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E01064F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Aprimorar frentes/locais, histórico de função e local do colaborador e motor de requisitos por processo, função e frente/local.</w:t>
            </w:r>
          </w:p>
        </w:tc>
      </w:tr>
      <w:tr w:rsidR="00540D1F" w14:paraId="710C6358" w14:textId="77777777">
        <w:tc>
          <w:tcPr>
            <w:tcW w:w="397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C2C6F90" w14:textId="77777777" w:rsidR="00540D1F" w:rsidRDefault="003C21B6">
            <w:pPr>
              <w:spacing w:before="20" w:after="20" w:line="269" w:lineRule="auto"/>
              <w:jc w:val="center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FFFFF"/>
                <w:sz w:val="18"/>
              </w:rPr>
              <w:t>2</w:t>
            </w:r>
          </w:p>
        </w:tc>
        <w:tc>
          <w:tcPr>
            <w:tcW w:w="9241" w:type="dxa"/>
            <w:shd w:val="clear" w:color="auto" w:fill="F8FA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FC0C32E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Aprimorar solicitações e dossiê: requisitos automáticos, origem explicável, fotografia da regra aplicada, pendências, documentos, histórico e conformidade transparente.</w:t>
            </w:r>
          </w:p>
        </w:tc>
      </w:tr>
      <w:tr w:rsidR="00540D1F" w14:paraId="1DBF6781" w14:textId="77777777">
        <w:tc>
          <w:tcPr>
            <w:tcW w:w="397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34C2A8C" w14:textId="77777777" w:rsidR="00540D1F" w:rsidRDefault="003C21B6">
            <w:pPr>
              <w:spacing w:before="20" w:after="20" w:line="269" w:lineRule="auto"/>
              <w:jc w:val="center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FFFFF"/>
                <w:sz w:val="18"/>
              </w:rPr>
              <w:t>3</w:t>
            </w:r>
          </w:p>
        </w:tc>
        <w:tc>
          <w:tcPr>
            <w:tcW w:w="9241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C08EED7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Incluir gestão de férias: períodos aquisitivo e concessivo, programação, aprovação, calendário, alertas, filtros e histórico por colaborador.</w:t>
            </w:r>
          </w:p>
        </w:tc>
      </w:tr>
      <w:tr w:rsidR="00540D1F" w14:paraId="1BF347F7" w14:textId="77777777">
        <w:tc>
          <w:tcPr>
            <w:tcW w:w="397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2F28F96" w14:textId="77777777" w:rsidR="00540D1F" w:rsidRDefault="003C21B6">
            <w:pPr>
              <w:spacing w:before="20" w:after="20" w:line="269" w:lineRule="auto"/>
              <w:jc w:val="center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FFFFF"/>
                <w:sz w:val="18"/>
              </w:rPr>
              <w:t>4</w:t>
            </w:r>
          </w:p>
        </w:tc>
        <w:tc>
          <w:tcPr>
            <w:tcW w:w="9241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E7B518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Incluir atestados e afastamentos: registro, anexos, período, retorno previsto, pendências, histórico e permissões reforçadas para dados sensíveis.</w:t>
            </w:r>
          </w:p>
        </w:tc>
      </w:tr>
      <w:tr w:rsidR="00540D1F" w14:paraId="4F3F2846" w14:textId="77777777">
        <w:tc>
          <w:tcPr>
            <w:tcW w:w="397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F1C90BE" w14:textId="77777777" w:rsidR="00540D1F" w:rsidRDefault="003C21B6">
            <w:pPr>
              <w:spacing w:before="20" w:after="20" w:line="269" w:lineRule="auto"/>
              <w:jc w:val="center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FFFFF"/>
                <w:sz w:val="18"/>
              </w:rPr>
              <w:t>5</w:t>
            </w:r>
          </w:p>
        </w:tc>
        <w:tc>
          <w:tcPr>
            <w:tcW w:w="9241" w:type="dxa"/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5E9A3D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Ampliar BI, alertas e relatórios com indicadores rastreáveis e filtros por empresa, função, frente/local, período e status.</w:t>
            </w:r>
          </w:p>
        </w:tc>
      </w:tr>
    </w:tbl>
    <w:p w14:paraId="44F8F5F9" w14:textId="77777777" w:rsidR="00540D1F" w:rsidRDefault="00540D1F">
      <w:pPr>
        <w:spacing w:after="140"/>
        <w:rPr>
          <w:rFonts w:hint="eastAsia"/>
        </w:rPr>
      </w:pPr>
    </w:p>
    <w:p w14:paraId="1E01248E" w14:textId="77777777" w:rsidR="00540D1F" w:rsidRDefault="003C21B6">
      <w:pPr>
        <w:keepNext/>
        <w:pageBreakBefore/>
        <w:spacing w:before="320" w:after="180"/>
        <w:rPr>
          <w:rFonts w:hint="eastAsia"/>
        </w:rPr>
      </w:pPr>
      <w:r>
        <w:rPr>
          <w:rFonts w:ascii="Neue Power Ultra" w:hAnsi="Neue Power Ultra"/>
          <w:color w:val="030409"/>
          <w:sz w:val="32"/>
        </w:rPr>
        <w:lastRenderedPageBreak/>
        <w:t>5. Confirmações necessárias e próximos passos</w:t>
      </w:r>
    </w:p>
    <w:tbl>
      <w:tblPr>
        <w:tblStyle w:val="Tabelacomgrade"/>
        <w:tblW w:w="9639" w:type="dxa"/>
        <w:tblLayout w:type="fixed"/>
        <w:tblLook w:val="04A0" w:firstRow="1" w:lastRow="0" w:firstColumn="1" w:lastColumn="0" w:noHBand="0" w:noVBand="1"/>
      </w:tblPr>
      <w:tblGrid>
        <w:gridCol w:w="2120"/>
        <w:gridCol w:w="2409"/>
        <w:gridCol w:w="2507"/>
        <w:gridCol w:w="2603"/>
      </w:tblGrid>
      <w:tr w:rsidR="00540D1F" w14:paraId="45F154DC" w14:textId="77777777">
        <w:tc>
          <w:tcPr>
            <w:tcW w:w="2120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CE41FEC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Pendência</w:t>
            </w:r>
          </w:p>
        </w:tc>
        <w:tc>
          <w:tcPr>
            <w:tcW w:w="2409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6A96D6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w="2506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CD641D5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Próxima ação</w:t>
            </w:r>
          </w:p>
        </w:tc>
        <w:tc>
          <w:tcPr>
            <w:tcW w:w="2602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2A88488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Prazo</w:t>
            </w:r>
          </w:p>
        </w:tc>
      </w:tr>
      <w:tr w:rsidR="00540D1F" w14:paraId="575100E1" w14:textId="77777777">
        <w:tc>
          <w:tcPr>
            <w:tcW w:w="2120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65154B6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Frente/local de trabalho</w:t>
            </w:r>
          </w:p>
        </w:tc>
        <w:tc>
          <w:tcPr>
            <w:tcW w:w="2409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92BAD5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SmartDocPlan</w:t>
            </w:r>
          </w:p>
        </w:tc>
        <w:tc>
          <w:tcPr>
            <w:tcW w:w="2506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BA50F82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Confirmar se frente, obra, unidade e contrato são uma única entidade ou cadastros diferentes.</w:t>
            </w:r>
          </w:p>
        </w:tc>
        <w:tc>
          <w:tcPr>
            <w:tcW w:w="260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650DD92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Até 5 dias úteis após o envio</w:t>
            </w:r>
          </w:p>
        </w:tc>
      </w:tr>
      <w:tr w:rsidR="00540D1F" w14:paraId="2629540D" w14:textId="77777777">
        <w:tc>
          <w:tcPr>
            <w:tcW w:w="2120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99BA595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Matriz de requisitos</w:t>
            </w:r>
          </w:p>
        </w:tc>
        <w:tc>
          <w:tcPr>
            <w:tcW w:w="2409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32C29E8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SmartDocPlan / Atenza</w:t>
            </w:r>
          </w:p>
        </w:tc>
        <w:tc>
          <w:tcPr>
            <w:tcW w:w="2506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0508EE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Definir se a regra será por processo, função, frente/local ou combinação desses critérios.</w:t>
            </w:r>
          </w:p>
        </w:tc>
        <w:tc>
          <w:tcPr>
            <w:tcW w:w="260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D8659A0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Até 5 dias úteis após o envio</w:t>
            </w:r>
          </w:p>
        </w:tc>
      </w:tr>
      <w:tr w:rsidR="00540D1F" w14:paraId="25603B9E" w14:textId="77777777">
        <w:tc>
          <w:tcPr>
            <w:tcW w:w="2120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A8A3331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Conformidade do dossiê</w:t>
            </w:r>
          </w:p>
        </w:tc>
        <w:tc>
          <w:tcPr>
            <w:tcW w:w="2409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2DAA8AE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SmartDocPlan / Atenza</w:t>
            </w:r>
          </w:p>
        </w:tc>
        <w:tc>
          <w:tcPr>
            <w:tcW w:w="2506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985F8CC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Aprovar percentual, pesos e tratamento de itens pendentes ou vencidos.</w:t>
            </w:r>
          </w:p>
        </w:tc>
        <w:tc>
          <w:tcPr>
            <w:tcW w:w="260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3A67EEF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Até o início da Etapa 2</w:t>
            </w:r>
          </w:p>
        </w:tc>
      </w:tr>
      <w:tr w:rsidR="00540D1F" w14:paraId="3B627A85" w14:textId="77777777">
        <w:tc>
          <w:tcPr>
            <w:tcW w:w="2120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7DBD6FD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Férias</w:t>
            </w:r>
          </w:p>
        </w:tc>
        <w:tc>
          <w:tcPr>
            <w:tcW w:w="2409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7D3A9C3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SmartDocPlan</w:t>
            </w:r>
          </w:p>
        </w:tc>
        <w:tc>
          <w:tcPr>
            <w:tcW w:w="2506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E246F70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Definir aprovação e se haverá cálculo de saldo legal ou apenas registro de dados validados.</w:t>
            </w:r>
          </w:p>
        </w:tc>
        <w:tc>
          <w:tcPr>
            <w:tcW w:w="260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6D3EE1B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Até o início da Etapa 3</w:t>
            </w:r>
          </w:p>
        </w:tc>
      </w:tr>
      <w:tr w:rsidR="00540D1F" w14:paraId="0EC13A83" w14:textId="77777777">
        <w:tc>
          <w:tcPr>
            <w:tcW w:w="2120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C030BC5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Dados de saúde</w:t>
            </w:r>
          </w:p>
        </w:tc>
        <w:tc>
          <w:tcPr>
            <w:tcW w:w="2409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BE75B09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SmartDocPlan / Atenza</w:t>
            </w:r>
          </w:p>
        </w:tc>
        <w:tc>
          <w:tcPr>
            <w:tcW w:w="2506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59C3345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Definir dados permitidos e perfis autorizados a visualizar atestados e afastamentos.</w:t>
            </w:r>
          </w:p>
        </w:tc>
        <w:tc>
          <w:tcPr>
            <w:tcW w:w="260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467D774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Até o início da Etapa 4</w:t>
            </w:r>
          </w:p>
        </w:tc>
      </w:tr>
    </w:tbl>
    <w:p w14:paraId="25EE5E00" w14:textId="77777777" w:rsidR="00540D1F" w:rsidRDefault="003C21B6">
      <w:pPr>
        <w:keepNext/>
        <w:pageBreakBefore/>
        <w:spacing w:before="320" w:after="180"/>
        <w:rPr>
          <w:rFonts w:hint="eastAsia"/>
        </w:rPr>
      </w:pPr>
      <w:r>
        <w:rPr>
          <w:rFonts w:ascii="Neue Power Ultra" w:hAnsi="Neue Power Ultra"/>
          <w:color w:val="030409"/>
          <w:sz w:val="32"/>
        </w:rPr>
        <w:lastRenderedPageBreak/>
        <w:t>6. Previsão de prazo</w:t>
      </w:r>
    </w:p>
    <w:p w14:paraId="4498F87F" w14:textId="77777777" w:rsidR="00540D1F" w:rsidRDefault="003C21B6" w:rsidP="00AD410C">
      <w:pPr>
        <w:spacing w:line="300" w:lineRule="auto"/>
        <w:ind w:firstLine="426"/>
        <w:jc w:val="both"/>
        <w:rPr>
          <w:rFonts w:hint="eastAsia"/>
        </w:rPr>
      </w:pPr>
      <w:r>
        <w:rPr>
          <w:rFonts w:ascii="Nortica Typeface" w:hAnsi="Nortica Typeface"/>
          <w:color w:val="030409"/>
          <w:sz w:val="20"/>
        </w:rPr>
        <w:t>A previsão para as melhorias mapeadas é de 16 semanas, contadas após a confirmação do entendimento e das decisões críticas. A execução será organizada em: Etapa 1 - regras e vínculos (3 semanas); Etapa 2 - solicitações, dossiê e conformidade (3 semanas); Etapa 3 - férias (4 semanas); Etapa 4 - atestados e afastamentos (3 semanas); e Etapa 5 - BI, alertas e relatórios (3 semanas). Integrações externas, cálculos financeiros de férias ou novas demandas serão avaliados separadamente caso sejam solicitados.</w:t>
      </w:r>
      <w:r>
        <w:rPr>
          <w:rFonts w:ascii="Nortica Typeface" w:hAnsi="Nortica Typeface"/>
          <w:color w:val="030409"/>
          <w:sz w:val="20"/>
        </w:rPr>
        <w:br/>
      </w:r>
      <w:r>
        <w:rPr>
          <w:rFonts w:ascii="Nortica Typeface" w:hAnsi="Nortica Typeface"/>
          <w:color w:val="030409"/>
          <w:sz w:val="20"/>
        </w:rPr>
        <w:br/>
      </w:r>
      <w:r>
        <w:rPr>
          <w:rFonts w:ascii="Nortica Typeface" w:hAnsi="Nortica Typeface"/>
          <w:color w:val="030409"/>
          <w:sz w:val="20"/>
        </w:rPr>
        <w:t>Solicita-se a confirmação de que o entendimento acima representa a necessidade da SmartDocPlan e o retorno consolidado sobre as decisões listadas. Com essa validação, a Atenza organizará o backlog executivo e seguirá com a primeira etapa priorizada para a versão em homologação.</w:t>
      </w:r>
    </w:p>
    <w:p w14:paraId="70A56732" w14:textId="77777777" w:rsidR="00AD410C" w:rsidRDefault="00AD410C" w:rsidP="00AD410C"/>
    <w:p w14:paraId="044B9E67" w14:textId="647ED45A" w:rsidR="00540D1F" w:rsidRDefault="003C21B6" w:rsidP="00AD410C">
      <w:pPr>
        <w:rPr>
          <w:rFonts w:hint="eastAsia"/>
        </w:rPr>
      </w:pPr>
      <w:r>
        <w:rPr>
          <w:rFonts w:ascii="Neue Power Ultra" w:hAnsi="Neue Power Ultra"/>
          <w:sz w:val="32"/>
        </w:rPr>
        <w:t>Histórico de versões</w:t>
      </w:r>
    </w:p>
    <w:tbl>
      <w:tblPr>
        <w:tblStyle w:val="Tabelacomgrade"/>
        <w:tblW w:w="9639" w:type="dxa"/>
        <w:tblLayout w:type="fixed"/>
        <w:tblLook w:val="04A0" w:firstRow="1" w:lastRow="0" w:firstColumn="1" w:lastColumn="0" w:noHBand="0" w:noVBand="1"/>
      </w:tblPr>
      <w:tblGrid>
        <w:gridCol w:w="1543"/>
        <w:gridCol w:w="2506"/>
        <w:gridCol w:w="3470"/>
        <w:gridCol w:w="2120"/>
      </w:tblGrid>
      <w:tr w:rsidR="00540D1F" w14:paraId="4FF050A7" w14:textId="77777777">
        <w:tc>
          <w:tcPr>
            <w:tcW w:w="1542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4087EED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Versão</w:t>
            </w:r>
          </w:p>
        </w:tc>
        <w:tc>
          <w:tcPr>
            <w:tcW w:w="2506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4FA3C11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Data</w:t>
            </w:r>
          </w:p>
        </w:tc>
        <w:tc>
          <w:tcPr>
            <w:tcW w:w="3470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EDF1637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w="2120" w:type="dxa"/>
            <w:shd w:val="clear" w:color="auto" w:fill="071B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F64251B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 Bold" w:hAnsi="Nortica Typeface Bold"/>
                <w:color w:val="F2F2ED"/>
                <w:sz w:val="18"/>
              </w:rPr>
              <w:t>Descrição</w:t>
            </w:r>
          </w:p>
        </w:tc>
      </w:tr>
      <w:tr w:rsidR="00540D1F" w14:paraId="495D2C2B" w14:textId="77777777">
        <w:tc>
          <w:tcPr>
            <w:tcW w:w="1542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152FA52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v1.0</w:t>
            </w:r>
          </w:p>
        </w:tc>
        <w:tc>
          <w:tcPr>
            <w:tcW w:w="2506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75A0BF4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25/08/2026</w:t>
            </w:r>
          </w:p>
        </w:tc>
        <w:tc>
          <w:tcPr>
            <w:tcW w:w="3470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4898C9F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Ewerton Gomes Almeida</w:t>
            </w:r>
          </w:p>
        </w:tc>
        <w:tc>
          <w:tcPr>
            <w:tcW w:w="2120" w:type="dx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BE488B4" w14:textId="77777777" w:rsidR="00540D1F" w:rsidRDefault="003C21B6">
            <w:pPr>
              <w:spacing w:before="20" w:after="20" w:line="269" w:lineRule="auto"/>
              <w:rPr>
                <w:rFonts w:hint="eastAsia"/>
              </w:rPr>
            </w:pPr>
            <w:r>
              <w:rPr>
                <w:rFonts w:ascii="Nortica Typeface" w:hAnsi="Nortica Typeface"/>
                <w:color w:val="030409"/>
                <w:sz w:val="18"/>
              </w:rPr>
              <w:t>Emissão inicial para confirmação das melhorias do fluxo atual em homologação e da estimativa por etapas.</w:t>
            </w:r>
          </w:p>
        </w:tc>
      </w:tr>
    </w:tbl>
    <w:p w14:paraId="1674521A" w14:textId="77777777" w:rsidR="003C21B6" w:rsidRDefault="003C21B6"/>
    <w:sectPr w:rsidR="003C21B6" w:rsidSect="00034616">
      <w:headerReference w:type="default" r:id="rId10"/>
      <w:footerReference w:type="default" r:id="rId11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DE5F" w14:textId="77777777" w:rsidR="003C21B6" w:rsidRDefault="003C21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40CD3B" w14:textId="77777777" w:rsidR="003C21B6" w:rsidRDefault="003C21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tenzaNortic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rtica Typeface Bold">
    <w:panose1 w:val="00000000000000000000"/>
    <w:charset w:val="00"/>
    <w:family w:val="auto"/>
    <w:pitch w:val="variable"/>
    <w:sig w:usb0="A00000EF" w:usb1="0000004A" w:usb2="00000000" w:usb3="00000000" w:csb0="00000093" w:csb1="00000000"/>
  </w:font>
  <w:font w:name="Neue Power Ultra">
    <w:panose1 w:val="00000000000000000000"/>
    <w:charset w:val="00"/>
    <w:family w:val="auto"/>
    <w:pitch w:val="variable"/>
    <w:sig w:usb0="00000007" w:usb1="00000000" w:usb2="00000000" w:usb3="00000000" w:csb0="00000093" w:csb1="00000000"/>
  </w:font>
  <w:font w:name="Nortica Typeface">
    <w:panose1 w:val="00000000000000000000"/>
    <w:charset w:val="00"/>
    <w:family w:val="auto"/>
    <w:pitch w:val="variable"/>
    <w:sig w:usb0="A00000EF" w:usb1="0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4DA4" w14:textId="77777777" w:rsidR="00540D1F" w:rsidRDefault="003C21B6">
    <w:pPr>
      <w:pStyle w:val="Rodap"/>
      <w:rPr>
        <w:rFonts w:hint="eastAsia"/>
      </w:rPr>
    </w:pPr>
    <w:r>
      <w:rPr>
        <w:rFonts w:ascii="Nortica Typeface" w:hAnsi="Nortica Typeface"/>
        <w:color w:val="6B7280"/>
        <w:sz w:val="15"/>
      </w:rPr>
      <w:t>E GOMES ALMEIDA TECNOLOGIA E SERVICOS LTDA</w:t>
    </w:r>
    <w:r>
      <w:rPr>
        <w:rFonts w:ascii="Nortica Typeface" w:hAnsi="Nortica Typeface"/>
        <w:color w:val="6B7280"/>
        <w:sz w:val="15"/>
      </w:rPr>
      <w:br/>
      <w:t>CNPJ: 63.592.706/0001-00 | www.atenza.digital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B619B" w14:textId="77777777" w:rsidR="003C21B6" w:rsidRDefault="003C21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C419CF" w14:textId="77777777" w:rsidR="003C21B6" w:rsidRDefault="003C21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4168" w14:textId="77777777" w:rsidR="00540D1F" w:rsidRDefault="00540D1F">
    <w:pPr>
      <w:pStyle w:val="Cabealho"/>
      <w:rPr>
        <w:rFonts w:hint="eastAsia"/>
      </w:rPr>
    </w:pPr>
  </w:p>
  <w:p w14:paraId="5C50177C" w14:textId="77777777" w:rsidR="00540D1F" w:rsidRDefault="003C21B6">
    <w:pPr>
      <w:rPr>
        <w:rFonts w:hint="eastAsia"/>
      </w:rPr>
    </w:pPr>
    <w:r>
      <w:rPr>
        <w:rFonts w:hint="eastAsia"/>
      </w:rPr>
      <w:pict w14:anchorId="77EE05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AtenzaWatermark" o:spid="_x0000_s1025" type="#_x0000_t75" style="position:absolute;margin-left:0;margin-top:0;width:5in;height:5in;z-index:-251658752;mso-wrap-edited:f;mso-position-horizontal:center;mso-position-horizontal-relative:page;mso-position-vertical:center;mso-position-vertical-relative:page" o:allowincell="f">
          <v:imagedata r:id="rId1" o:title="Atenza SoluÃ§Ãµes Digitais"/>
          <w10:wrap anchorx="page" anchory="page"/>
        </v:shape>
      </w:pict>
    </w:r>
  </w:p>
  <w:tbl>
    <w:tblPr>
      <w:tblW w:w="0" w:type="auto"/>
      <w:tblLook w:val="04A0" w:firstRow="1" w:lastRow="0" w:firstColumn="1" w:lastColumn="0" w:noHBand="0" w:noVBand="1"/>
    </w:tblPr>
    <w:tblGrid>
      <w:gridCol w:w="4819"/>
      <w:gridCol w:w="4819"/>
    </w:tblGrid>
    <w:tr w:rsidR="00540D1F" w14:paraId="66E0201B" w14:textId="77777777">
      <w:tc>
        <w:tcPr>
          <w:tcW w:w="4819" w:type="dxa"/>
          <w:tcMar>
            <w:top w:w="0" w:type="dxa"/>
            <w:left w:w="0" w:type="dxa"/>
            <w:bottom w:w="0" w:type="dxa"/>
            <w:right w:w="0" w:type="dxa"/>
          </w:tcMar>
        </w:tcPr>
        <w:p w14:paraId="07A1CEAF" w14:textId="77777777" w:rsidR="00540D1F" w:rsidRDefault="003C21B6">
          <w:pPr>
            <w:spacing w:after="0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0146B740" wp14:editId="10F0CF05">
                <wp:extent cx="1116000" cy="218517"/>
                <wp:effectExtent l="0" t="0" r="0" b="0"/>
                <wp:docPr id="16687097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tcMar>
            <w:top w:w="0" w:type="dxa"/>
            <w:left w:w="0" w:type="dxa"/>
            <w:bottom w:w="0" w:type="dxa"/>
            <w:right w:w="0" w:type="dxa"/>
          </w:tcMar>
        </w:tcPr>
        <w:p w14:paraId="6582D2DC" w14:textId="77777777" w:rsidR="00540D1F" w:rsidRDefault="003C21B6">
          <w:pPr>
            <w:spacing w:after="0"/>
            <w:jc w:val="right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0142B236" wp14:editId="76BB73DB">
                <wp:extent cx="1530000" cy="545522"/>
                <wp:effectExtent l="0" t="0" r="0" b="0"/>
                <wp:docPr id="97941114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0000" cy="545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22636">
    <w:abstractNumId w:val="8"/>
  </w:num>
  <w:num w:numId="2" w16cid:durableId="460268042">
    <w:abstractNumId w:val="6"/>
  </w:num>
  <w:num w:numId="3" w16cid:durableId="1096831031">
    <w:abstractNumId w:val="5"/>
  </w:num>
  <w:num w:numId="4" w16cid:durableId="2074740429">
    <w:abstractNumId w:val="4"/>
  </w:num>
  <w:num w:numId="5" w16cid:durableId="497961529">
    <w:abstractNumId w:val="7"/>
  </w:num>
  <w:num w:numId="6" w16cid:durableId="240337412">
    <w:abstractNumId w:val="3"/>
  </w:num>
  <w:num w:numId="7" w16cid:durableId="188758930">
    <w:abstractNumId w:val="2"/>
  </w:num>
  <w:num w:numId="8" w16cid:durableId="1487744089">
    <w:abstractNumId w:val="1"/>
  </w:num>
  <w:num w:numId="9" w16cid:durableId="193104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1B6"/>
    <w:rsid w:val="00540D1F"/>
    <w:rsid w:val="009865E9"/>
    <w:rsid w:val="00AA1D8D"/>
    <w:rsid w:val="00AD410C"/>
    <w:rsid w:val="00B47730"/>
    <w:rsid w:val="00CB0664"/>
    <w:rsid w:val="00EB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9C95D0"/>
  <w14:defaultImageDpi w14:val="300"/>
  <w15:docId w15:val="{BB9AC90A-0BF9-4E1E-B71E-F53DA6C2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tenzaNortica" w:hAnsi="AtenzaNortic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Ewerton Gomes Almeida</cp:lastModifiedBy>
  <cp:revision>3</cp:revision>
  <cp:lastPrinted>2026-08-25T17:09:00Z</cp:lastPrinted>
  <dcterms:created xsi:type="dcterms:W3CDTF">2013-12-23T23:15:00Z</dcterms:created>
  <dcterms:modified xsi:type="dcterms:W3CDTF">2026-08-25T17:09:00Z</dcterms:modified>
  <cp:category/>
</cp:coreProperties>
</file>