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</w:pPr>
      <w:r>
        <w:rPr>
          <w:rFonts w:ascii="Nortica Typeface Bold" w:hAnsi="Nortica Typeface Bold"/>
          <w:color w:val="3850A0"/>
          <w:sz w:val="18"/>
        </w:rPr>
        <w:t>DOCUMENTO INSTITUCIONAL</w:t>
      </w:r>
    </w:p>
    <w:p>
      <w:pPr>
        <w:spacing w:after="160"/>
      </w:pPr>
      <w:r>
        <w:rPr>
          <w:rFonts w:ascii="Neue Power Ultra" w:hAnsi="Neue Power Ultra"/>
          <w:color w:val="030409"/>
          <w:sz w:val="52"/>
        </w:rPr>
        <w:t>Roteiro de Testes e Validação</w:t>
      </w:r>
    </w:p>
    <w:p>
      <w:pPr>
        <w:spacing w:after="320"/>
      </w:pPr>
      <w:r>
        <w:rPr>
          <w:rFonts w:ascii="Nortica Typeface" w:hAnsi="Nortica Typeface"/>
          <w:color w:val="6B7280"/>
          <w:sz w:val="24"/>
        </w:rPr>
        <w:t>SmartDocPlan: rodada de homologação da versão publicada em 30/07/2026, com foco nos fluxos críticos já implementados e testáveis nesta etapa.</w:t>
      </w:r>
    </w:p>
    <w:p>
      <w:pPr>
        <w:spacing w:before="280" w:after="160"/>
      </w:pPr>
      <w:r>
        <w:rPr>
          <w:rFonts w:ascii="Neue Power Ultra" w:hAnsi="Neue Power Ultra"/>
          <w:color w:val="030409"/>
          <w:sz w:val="30"/>
        </w:rPr>
        <w:t>Ficha do projeto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Projeto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SmartDocPlan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Cliente final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SmartDocPlan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Responsável Atenza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Ewerton Gomes Almeida</w:t>
            </w:r>
          </w:p>
        </w:tc>
      </w:tr>
      <w:tr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EEF4F8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Responsável pela homologação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Equipe SmartDocPlan / Atenza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EEF4F8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Ambiente testado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Homologação publicada na VPS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EEF4F8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Versão/build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6b80c5f - deploy CI/CD 30/07/2026</w:t>
            </w:r>
          </w:p>
        </w:tc>
      </w:tr>
      <w:tr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Data da rodada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30/07/2026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Prazo de retorno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01/08/2026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FFFFFF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Status da validação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Em homologação</w:t>
            </w:r>
          </w:p>
        </w:tc>
      </w:tr>
      <w:tr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EEF4F8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Critério de aprovação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Cenários críticos executados sem bloqueio funcional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EEF4F8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  <w:t>Decisão aguardada</w:t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  <w:t>Validação do cliente sobre a rodada atual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shd w:fill="EEF4F8"/>
          </w:tcPr>
          <w:p>
            <w:pPr>
              <w:spacing w:before="20" w:after="20" w:line="269" w:lineRule="auto"/>
            </w:pPr>
            <w:r/>
            <w:r>
              <w:rPr>
                <w:rFonts w:ascii="Nortica Typeface Bold" w:hAnsi="Nortica Typeface Bold"/>
                <w:color w:val="3850A0"/>
                <w:sz w:val="15"/>
              </w:rPr>
            </w:r>
            <w:r>
              <w:br/>
            </w:r>
            <w:r>
              <w:rPr>
                <w:rFonts w:ascii="Nortica Typeface" w:hAnsi="Nortica Typeface"/>
                <w:color w:val="030409"/>
                <w:sz w:val="17"/>
              </w:rPr>
            </w:r>
          </w:p>
        </w:tc>
      </w:tr>
    </w:tbl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213"/>
            <w:shd w:fill="F2F2ED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3850A0"/>
                <w:sz w:val="18"/>
              </w:rPr>
              <w:t>STATUS DA RODADA</w:t>
            </w:r>
          </w:p>
        </w:tc>
        <w:tc>
          <w:tcPr>
            <w:tcW w:type="dxa" w:w="3213"/>
            <w:shd w:fill="F2F2ED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3850A0"/>
                <w:sz w:val="18"/>
              </w:rPr>
              <w:t>PRAZO DE RETORNO</w:t>
            </w:r>
          </w:p>
        </w:tc>
        <w:tc>
          <w:tcPr>
            <w:tcW w:type="dxa" w:w="3213"/>
            <w:shd w:fill="F2F2ED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3850A0"/>
                <w:sz w:val="18"/>
              </w:rPr>
              <w:t>CRITÉRIO DE APROVAÇÃO</w:t>
            </w:r>
          </w:p>
        </w:tc>
      </w:tr>
      <w:tr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030409"/>
                <w:sz w:val="18"/>
              </w:rPr>
              <w:t>Em homologação da rodada publicada em 30/07/2026.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Retorno esperado até 01/08/2026 com apontamentos funcionais, bloqueios ou aceite da rodada.</w:t>
            </w:r>
          </w:p>
        </w:tc>
        <w:tc>
          <w:tcPr>
            <w:tcW w:type="dxa" w:w="321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Aprovação dos cenários CT-001 a CT-007 sem erro crítico, regressão ou falha impeditiva.</w:t>
            </w:r>
          </w:p>
        </w:tc>
      </w:tr>
    </w:tbl>
    <w:p>
      <w:pPr>
        <w:spacing w:before="320" w:after="180"/>
      </w:pPr>
      <w:r>
        <w:rPr>
          <w:rFonts w:ascii="Neue Power Ultra" w:hAnsi="Neue Power Ultra"/>
          <w:color w:val="030409"/>
          <w:sz w:val="32"/>
        </w:rPr>
        <w:t>1. Ambiente de teste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84"/>
            <w:tcMar>
              <w:top w:w="130" w:type="dxa"/>
              <w:start w:w="130" w:type="dxa"/>
              <w:bottom w:w="130" w:type="dxa"/>
              <w:end w:w="130" w:type="dxa"/>
            </w:tcMar>
            <w:shd w:fill="071B33"/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Campo</w:t>
            </w:r>
          </w:p>
        </w:tc>
        <w:tc>
          <w:tcPr>
            <w:tcW w:type="dxa" w:w="6554"/>
            <w:tcMar>
              <w:top w:w="130" w:type="dxa"/>
              <w:start w:w="130" w:type="dxa"/>
              <w:bottom w:w="130" w:type="dxa"/>
              <w:end w:w="130" w:type="dxa"/>
            </w:tcMar>
            <w:shd w:fill="071B33"/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Valor</w:t>
            </w:r>
          </w:p>
        </w:tc>
      </w:tr>
      <w:tr>
        <w:tc>
          <w:tcPr>
            <w:tcW w:type="dxa" w:w="3084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URL de homologação</w:t>
            </w:r>
          </w:p>
        </w:tc>
        <w:tc>
          <w:tcPr>
            <w:tcW w:type="dxa" w:w="6554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http://89.116.214.65:8080</w:t>
            </w:r>
          </w:p>
        </w:tc>
      </w:tr>
      <w:tr>
        <w:tc>
          <w:tcPr>
            <w:tcW w:type="dxa" w:w="3084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URL de produção, se aplicável</w:t>
            </w:r>
          </w:p>
        </w:tc>
        <w:tc>
          <w:tcPr>
            <w:tcW w:type="dxa" w:w="6554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Não aplicável nesta rodada</w:t>
            </w:r>
          </w:p>
        </w:tc>
      </w:tr>
      <w:tr>
        <w:tc>
          <w:tcPr>
            <w:tcW w:type="dxa" w:w="3084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Usuário/perfil de teste</w:t>
            </w:r>
          </w:p>
        </w:tc>
        <w:tc>
          <w:tcPr>
            <w:tcW w:type="dxa" w:w="6554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platform_admin - admin@smartdocplan.com</w:t>
            </w:r>
          </w:p>
        </w:tc>
      </w:tr>
      <w:tr>
        <w:tc>
          <w:tcPr>
            <w:tcW w:type="dxa" w:w="3084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Senha</w:t>
            </w:r>
          </w:p>
        </w:tc>
        <w:tc>
          <w:tcPr>
            <w:tcW w:type="dxa" w:w="6554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Enviada por canal seguro</w:t>
            </w:r>
          </w:p>
        </w:tc>
      </w:tr>
      <w:tr>
        <w:tc>
          <w:tcPr>
            <w:tcW w:type="dxa" w:w="3084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Versão/build</w:t>
            </w:r>
          </w:p>
        </w:tc>
        <w:tc>
          <w:tcPr>
            <w:tcW w:type="dxa" w:w="6554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Commit 6b80c5f / publicação via GitHub Actions</w:t>
            </w:r>
          </w:p>
        </w:tc>
      </w:tr>
    </w:tbl>
    <w:p>
      <w:pPr>
        <w:spacing w:before="320" w:after="180"/>
      </w:pPr>
      <w:r>
        <w:rPr>
          <w:rFonts w:ascii="Neue Power Ultra" w:hAnsi="Neue Power Ultra"/>
          <w:color w:val="030409"/>
          <w:sz w:val="32"/>
        </w:rPr>
        <w:t>2. Escopo da validação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7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Nortica Typeface Bold" w:hAnsi="Nortica Typeface Bold"/>
                <w:color w:val="FFFFFF"/>
                <w:sz w:val="18"/>
              </w:rPr>
              <w:t>1</w:t>
            </w:r>
          </w:p>
        </w:tc>
        <w:tc>
          <w:tcPr>
            <w:tcW w:type="dxa" w:w="9241"/>
            <w:shd w:fill="FFFFFF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Fluxos que serão testados: login administrativo, dashboard da plataforma, troca para visão da empresa, configurações da empresa, notificações e abertura da nova solicitação.</w:t>
            </w:r>
          </w:p>
        </w:tc>
      </w:tr>
      <w:tr>
        <w:tc>
          <w:tcPr>
            <w:tcW w:type="dxa" w:w="397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Nortica Typeface Bold" w:hAnsi="Nortica Typeface Bold"/>
                <w:color w:val="FFFFFF"/>
                <w:sz w:val="18"/>
              </w:rPr>
              <w:t>2</w:t>
            </w:r>
          </w:p>
        </w:tc>
        <w:tc>
          <w:tcPr>
            <w:tcW w:type="dxa" w:w="9241"/>
            <w:shd w:fill="F8FAF8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Itens fora desta rodada: recuperação de senha, fluxo público seguro, score de conformidade completo, notificações por e-mail, retenção/descarte documental e governança avançada de sessão.</w:t>
            </w:r>
          </w:p>
        </w:tc>
      </w:tr>
      <w:tr>
        <w:tc>
          <w:tcPr>
            <w:tcW w:type="dxa" w:w="397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Nortica Typeface Bold" w:hAnsi="Nortica Typeface Bold"/>
                <w:color w:val="FFFFFF"/>
                <w:sz w:val="18"/>
              </w:rPr>
              <w:t>3</w:t>
            </w:r>
          </w:p>
        </w:tc>
        <w:tc>
          <w:tcPr>
            <w:tcW w:type="dxa" w:w="9241"/>
            <w:shd w:fill="FFFFFF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Dados de teste necessários: ambiente VPS acessível, navegador desktop atualizado, perfil platform_admin e empresa de teste já cadastrada.</w:t>
            </w:r>
          </w:p>
        </w:tc>
      </w:tr>
      <w:tr>
        <w:tc>
          <w:tcPr>
            <w:tcW w:type="dxa" w:w="397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center"/>
            </w:pPr>
            <w:r/>
            <w:r>
              <w:rPr>
                <w:rFonts w:ascii="Nortica Typeface Bold" w:hAnsi="Nortica Typeface Bold"/>
                <w:color w:val="FFFFFF"/>
                <w:sz w:val="18"/>
              </w:rPr>
              <w:t>4</w:t>
            </w:r>
          </w:p>
        </w:tc>
        <w:tc>
          <w:tcPr>
            <w:tcW w:type="dxa" w:w="9241"/>
            <w:shd w:fill="F8FAF8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Critério para aprovação ou reprovação: as telas devem carregar sem erro interno, as navegações devem manter a sessão ativa e os fluxos descritos precisam ficar utilizáveis para continuação da homologação.</w:t>
            </w:r>
          </w:p>
        </w:tc>
      </w:tr>
    </w:tbl>
    <w:p>
      <w:pPr>
        <w:spacing w:after="140"/>
      </w:pPr>
    </w:p>
    <w:p>
      <w:pPr>
        <w:spacing w:before="320" w:after="180"/>
      </w:pPr>
      <w:r>
        <w:rPr>
          <w:rFonts w:ascii="Neue Power Ultra" w:hAnsi="Neue Power Ultra"/>
          <w:color w:val="030409"/>
          <w:sz w:val="32"/>
        </w:rPr>
        <w:t>3. Cenários de teste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060"/>
            <w:tcMar>
              <w:top w:w="130" w:type="dxa"/>
              <w:start w:w="130" w:type="dxa"/>
              <w:bottom w:w="130" w:type="dxa"/>
              <w:end w:w="130" w:type="dxa"/>
            </w:tcMar>
            <w:shd w:fill="071B33"/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ID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shd w:fill="071B33"/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Cenário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shd w:fill="071B33"/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Passos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shd w:fill="071B33"/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Resultado esperado</w:t>
            </w:r>
          </w:p>
        </w:tc>
        <w:tc>
          <w:tcPr>
            <w:tcW w:type="dxa" w:w="1349"/>
            <w:tcMar>
              <w:top w:w="130" w:type="dxa"/>
              <w:start w:w="130" w:type="dxa"/>
              <w:bottom w:w="130" w:type="dxa"/>
              <w:end w:w="130" w:type="dxa"/>
            </w:tcMar>
            <w:shd w:fill="071B33"/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Status</w:t>
            </w:r>
          </w:p>
        </w:tc>
      </w:tr>
      <w:tr>
        <w:tc>
          <w:tcPr>
            <w:tcW w:type="dxa" w:w="106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CT-001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Login do administrador da plataforma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Acessar /login, informar e-mail do platform_admin, informar a senha recebida por canal seguro e clicar em Entrar.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O sistema deve autenticar com sucesso e redirecionar para o Dashboard Global sem exibir erro interno.</w:t>
            </w:r>
          </w:p>
        </w:tc>
        <w:tc>
          <w:tcPr>
            <w:tcW w:type="dxa" w:w="134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Pendente</w:t>
            </w:r>
          </w:p>
        </w:tc>
      </w:tr>
      <w:tr>
        <w:tc>
          <w:tcPr>
            <w:tcW w:type="dxa" w:w="106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CT-002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Dashboard Global da plataforma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Após o login, conferir os cards principais, menu lateral, empresa em foco no topo e acesso às áreas administrativas.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O dashboard deve abrir com menu funcional, indicadores visíveis e navegação estável.</w:t>
            </w:r>
          </w:p>
        </w:tc>
        <w:tc>
          <w:tcPr>
            <w:tcW w:type="dxa" w:w="134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Pendente</w:t>
            </w:r>
          </w:p>
        </w:tc>
      </w:tr>
      <w:tr>
        <w:tc>
          <w:tcPr>
            <w:tcW w:type="dxa" w:w="106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CT-003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Entrada na visão da empresa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 partir da plataforma, acessar a visão da empresa pelo seletor superior e entrar na empresa de teste.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 aplicação deve trocar para o contexto da empresa, exibindo o painel de RH e o botão de retorno para a plataforma.</w:t>
            </w:r>
          </w:p>
        </w:tc>
        <w:tc>
          <w:tcPr>
            <w:tcW w:type="dxa" w:w="134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Pendente</w:t>
            </w:r>
          </w:p>
        </w:tc>
      </w:tr>
      <w:tr>
        <w:tc>
          <w:tcPr>
            <w:tcW w:type="dxa" w:w="106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CT-004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Configurações e atualização cadastral da empresa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Na visão da empresa, abrir Configurações e conferir o histórico de atualização cadastral, dados da empresa e abas de apoio.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 tela deve carregar sem erro e exibir dados da empresa, histórico de solicitação e navegação entre abas.</w:t>
            </w:r>
          </w:p>
        </w:tc>
        <w:tc>
          <w:tcPr>
            <w:tcW w:type="dxa" w:w="134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Pendente</w:t>
            </w:r>
          </w:p>
        </w:tc>
      </w:tr>
      <w:tr>
        <w:tc>
          <w:tcPr>
            <w:tcW w:type="dxa" w:w="106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CT-005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Documentos da empresa e pendências documentais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Na aba Empresa de Configurações, localizar o bloco de documentos da empresa e verificar indicadores de obrigatórios pendentes.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Os documentos corporativos devem aparecer com status visual, ação de anexo e contadores coerentes de pendência.</w:t>
            </w:r>
          </w:p>
        </w:tc>
        <w:tc>
          <w:tcPr>
            <w:tcW w:type="dxa" w:w="134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Pendente</w:t>
            </w:r>
          </w:p>
        </w:tc>
      </w:tr>
      <w:tr>
        <w:tc>
          <w:tcPr>
            <w:tcW w:type="dxa" w:w="106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CT-006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Central de notificações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Na visão da empresa, abrir o ícone de notificações e conferir o card com a atualização cadastral aguardando tratativa.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 central deve listar a notificação existente, sem quebrar a tela nem encerrar a sessão.</w:t>
            </w:r>
          </w:p>
        </w:tc>
        <w:tc>
          <w:tcPr>
            <w:tcW w:type="dxa" w:w="134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Pendente</w:t>
            </w:r>
          </w:p>
        </w:tc>
      </w:tr>
      <w:tr>
        <w:tc>
          <w:tcPr>
            <w:tcW w:type="dxa" w:w="106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CT-007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Nova solicitação em etapas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Abrir Nova solicitação e conferir o fluxo em etapas, resumo lateral e início do preenchimento pela etapa Empresa.</w:t>
            </w:r>
          </w:p>
        </w:tc>
        <w:tc>
          <w:tcPr>
            <w:tcW w:type="dxa" w:w="240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A jornada deve aparecer segmentada em etapas visíveis, com layout utilizável e caminho claro para seguir o fluxo.</w:t>
            </w:r>
          </w:p>
        </w:tc>
        <w:tc>
          <w:tcPr>
            <w:tcW w:type="dxa" w:w="1349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Pendente</w:t>
            </w:r>
          </w:p>
        </w:tc>
      </w:tr>
    </w:tbl>
    <w:p>
      <w:pPr>
        <w:spacing w:before="320" w:after="180"/>
      </w:pPr>
      <w:r>
        <w:rPr>
          <w:rFonts w:ascii="Neue Power Ultra" w:hAnsi="Neue Power Ultra"/>
          <w:color w:val="030409"/>
          <w:sz w:val="32"/>
        </w:rPr>
        <w:t>4. Evidências</w:t>
      </w:r>
    </w:p>
    <w:p>
      <w:pPr>
        <w:spacing w:line="324" w:lineRule="auto" w:after="140"/>
        <w:ind w:firstLine="340"/>
        <w:jc w:val="both"/>
      </w:pPr>
      <w:r>
        <w:rPr>
          <w:rFonts w:ascii="Nortica Typeface" w:hAnsi="Nortica Typeface"/>
          <w:sz w:val="22"/>
        </w:rPr>
        <w:t>Os prints abaixo representam a versão publicada na rodada atual e servem como apoio visual para a conferência dos cenários listados neste roteiro.</w:t>
      </w:r>
    </w:p>
    <w:p/>
    <w:p>
      <w:pPr/>
      <w:r>
        <w:t>Tela 1 - Login</w:t>
      </w:r>
    </w:p>
    <w:p>
      <w:r>
        <w:drawing>
          <wp:inline xmlns:a="http://schemas.openxmlformats.org/drawingml/2006/main" xmlns:pic="http://schemas.openxmlformats.org/drawingml/2006/picture">
            <wp:extent cx="5577840" cy="3137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Print representativo da versão publicada em 30/07/2026 para apoiar a conferência visual deste cenário.</w:t>
      </w:r>
    </w:p>
    <w:p/>
    <w:p/>
    <w:p>
      <w:pPr/>
      <w:r>
        <w:t>Tela 2 - Dashboard Global da plataforma</w:t>
      </w:r>
    </w:p>
    <w:p>
      <w:r>
        <w:drawing>
          <wp:inline xmlns:a="http://schemas.openxmlformats.org/drawingml/2006/main" xmlns:pic="http://schemas.openxmlformats.org/drawingml/2006/picture">
            <wp:extent cx="5577840" cy="3137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platafor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Print representativo da versão publicada em 30/07/2026 para apoiar a conferência visual deste cenário.</w:t>
      </w:r>
    </w:p>
    <w:p/>
    <w:p/>
    <w:p>
      <w:pPr/>
      <w:r>
        <w:t>Tela 3 - Painel da empresa</w:t>
      </w:r>
    </w:p>
    <w:p>
      <w:r>
        <w:drawing>
          <wp:inline xmlns:a="http://schemas.openxmlformats.org/drawingml/2006/main" xmlns:pic="http://schemas.openxmlformats.org/drawingml/2006/picture">
            <wp:extent cx="5577840" cy="3137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-empres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Print representativo da versão publicada em 30/07/2026 para apoiar a conferência visual deste cenário.</w:t>
      </w:r>
    </w:p>
    <w:p/>
    <w:p/>
    <w:p>
      <w:pPr/>
      <w:r>
        <w:t>Tela 4 - Configurações da empresa</w:t>
      </w:r>
    </w:p>
    <w:p>
      <w:r>
        <w:drawing>
          <wp:inline xmlns:a="http://schemas.openxmlformats.org/drawingml/2006/main" xmlns:pic="http://schemas.openxmlformats.org/drawingml/2006/picture">
            <wp:extent cx="5577840" cy="3137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nfiguracoes-empres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Print representativo da versão publicada em 30/07/2026 para apoiar a conferência visual deste cenário.</w:t>
      </w:r>
    </w:p>
    <w:p/>
    <w:p/>
    <w:p>
      <w:pPr/>
      <w:r>
        <w:t>Tela 5 - Central de notificações</w:t>
      </w:r>
    </w:p>
    <w:p>
      <w:r>
        <w:drawing>
          <wp:inline xmlns:a="http://schemas.openxmlformats.org/drawingml/2006/main" xmlns:pic="http://schemas.openxmlformats.org/drawingml/2006/picture">
            <wp:extent cx="5577840" cy="3137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notificaco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Print representativo da versão publicada em 30/07/2026 para apoiar a conferência visual deste cenário.</w:t>
      </w:r>
    </w:p>
    <w:p/>
    <w:p/>
    <w:p>
      <w:pPr/>
      <w:r>
        <w:t>Tela 6 - Nova solicitação em etapas</w:t>
      </w:r>
    </w:p>
    <w:p>
      <w:r>
        <w:drawing>
          <wp:inline xmlns:a="http://schemas.openxmlformats.org/drawingml/2006/main" xmlns:pic="http://schemas.openxmlformats.org/drawingml/2006/picture">
            <wp:extent cx="5577840" cy="3137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nova-solicit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t>Print representativo da versão publicada em 30/07/2026 para apoiar a conferência visual deste cenário.</w:t>
      </w:r>
    </w:p>
    <w:p>
      <w:r>
        <w:br w:type="page"/>
      </w:r>
    </w:p>
    <w:p>
      <w:pPr>
        <w:spacing w:before="320" w:after="180"/>
      </w:pPr>
      <w:r>
        <w:rPr>
          <w:rFonts w:ascii="Neue Power Ultra" w:hAnsi="Neue Power Ultra"/>
          <w:sz w:val="32"/>
        </w:rPr>
        <w:t>Histórico de versões</w:t>
      </w:r>
    </w:p>
    <w:tbl>
      <w:tblPr>
        <w:tblStyle w:val="TableGrid"/>
        <w:tblW w:type="dxa" w:w="9639"/>
        <w:jc w:val="left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42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Versão</w:t>
            </w:r>
          </w:p>
        </w:tc>
        <w:tc>
          <w:tcPr>
            <w:tcW w:type="dxa" w:w="2506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Data</w:t>
            </w:r>
          </w:p>
        </w:tc>
        <w:tc>
          <w:tcPr>
            <w:tcW w:type="dxa" w:w="3470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Responsável</w:t>
            </w:r>
          </w:p>
        </w:tc>
        <w:tc>
          <w:tcPr>
            <w:tcW w:type="dxa" w:w="2120"/>
            <w:shd w:fill="071B33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 Bold" w:hAnsi="Nortica Typeface Bold"/>
                <w:color w:val="F2F2ED"/>
                <w:sz w:val="18"/>
              </w:rPr>
              <w:t>Descrição</w:t>
            </w:r>
          </w:p>
        </w:tc>
      </w:tr>
      <w:tr>
        <w:tc>
          <w:tcPr>
            <w:tcW w:type="dxa" w:w="1542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v1.0</w:t>
            </w:r>
          </w:p>
        </w:tc>
        <w:tc>
          <w:tcPr>
            <w:tcW w:type="dxa" w:w="2506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30/07/2026</w:t>
            </w:r>
          </w:p>
        </w:tc>
        <w:tc>
          <w:tcPr>
            <w:tcW w:type="dxa" w:w="347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Ewerton Gomes Almeida</w:t>
            </w:r>
          </w:p>
        </w:tc>
        <w:tc>
          <w:tcPr>
            <w:tcW w:type="dxa" w:w="2120"/>
            <w:tcMar>
              <w:top w:w="130" w:type="dxa"/>
              <w:start w:w="130" w:type="dxa"/>
              <w:bottom w:w="130" w:type="dxa"/>
              <w:end w:w="130" w:type="dxa"/>
            </w:tcMar>
            <w:vAlign w:val="top"/>
          </w:tcPr>
          <w:p>
            <w:pPr>
              <w:spacing w:before="20" w:after="20" w:line="269" w:lineRule="auto"/>
              <w:jc w:val="left"/>
            </w:pPr>
            <w:r/>
            <w:r>
              <w:rPr>
                <w:rFonts w:ascii="Nortica Typeface" w:hAnsi="Nortica Typeface"/>
                <w:color w:val="030409"/>
                <w:sz w:val="18"/>
              </w:rPr>
              <w:t>Emissão inicial do roteiro de testes da rodada publicada via CI/CD, com evidências visuais e cenários críticos para homologação.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38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Nortica Typeface" w:hAnsi="Nortica Typeface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  <w:tbl>
    <w:tblPr>
      <w:tblW w:type="auto" w:w="0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16000" cy="21851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logo_dark_templat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6000" cy="21851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206000" cy="43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tenza_tecnologia_com_proposit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000" cy="43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enzaNortica" w:hAnsi="AtenzaNor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