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EB501" w14:textId="77777777" w:rsidR="00000000" w:rsidRDefault="00F8255B">
      <w:pPr>
        <w:pStyle w:val="Title"/>
        <w:widowControl/>
      </w:pPr>
      <w:bookmarkStart w:id="0" w:name="_GoBack"/>
      <w:bookmarkEnd w:id="0"/>
      <w:r>
        <w:t xml:space="preserve"> How Social Networks Shape Absorptive Capacity in Open Innovation: Foo</w:t>
      </w:r>
      <w:r>
        <w:t>d Industry Case Studies</w:t>
      </w:r>
    </w:p>
    <w:p w14:paraId="1CA2D403" w14:textId="77777777" w:rsidR="00000000" w:rsidRDefault="00F8255B">
      <w:pPr>
        <w:pStyle w:val="Title"/>
        <w:widowControl/>
      </w:pPr>
      <w:r>
        <w:rPr>
          <w:sz w:val="29"/>
          <w:szCs w:val="29"/>
        </w:rPr>
        <w:t>Swinburne University of Technology</w:t>
      </w:r>
    </w:p>
    <w:p w14:paraId="2DAC3941" w14:textId="3585AD51" w:rsidR="00000000" w:rsidRDefault="0096083E">
      <w:pPr>
        <w:pStyle w:val="Title"/>
        <w:widowControl/>
      </w:pPr>
      <w:r>
        <w:drawing>
          <wp:inline distT="0" distB="0" distL="0" distR="0" wp14:anchorId="0940BBDB" wp14:editId="60C9B731">
            <wp:extent cx="558800" cy="84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55B">
        <w:t xml:space="preserve"> </w:t>
      </w:r>
    </w:p>
    <w:p w14:paraId="431D3500" w14:textId="77777777" w:rsidR="00000000" w:rsidRDefault="00F8255B">
      <w:pPr>
        <w:pStyle w:val="author"/>
        <w:widowControl/>
        <w:ind w:firstLine="360"/>
      </w:pPr>
      <w:r>
        <w:t>Andrew Terhorst</w:t>
      </w:r>
    </w:p>
    <w:p w14:paraId="5287184A" w14:textId="77777777" w:rsidR="00000000" w:rsidRDefault="00F8255B">
      <w:pPr>
        <w:pStyle w:val="author"/>
        <w:widowControl/>
        <w:ind w:firstLine="360"/>
      </w:pPr>
      <w:r>
        <w:fldChar w:fldCharType="begin"/>
      </w:r>
      <w:r>
        <w:instrText>date</w:instrText>
      </w:r>
      <w:r>
        <w:fldChar w:fldCharType="separate"/>
      </w:r>
      <w:r w:rsidR="0096083E">
        <w:t>17/07/2015</w:t>
      </w:r>
      <w:r>
        <w:fldChar w:fldCharType="end"/>
      </w:r>
    </w:p>
    <w:p w14:paraId="23BBC02D" w14:textId="77777777" w:rsidR="00000000" w:rsidRDefault="00F8255B">
      <w:pPr>
        <w:keepNext/>
        <w:spacing w:before="240" w:after="12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Chapter</w:t>
      </w:r>
    </w:p>
    <w:p w14:paraId="74C84A66" w14:textId="77777777" w:rsidR="00000000" w:rsidRDefault="00F8255B">
      <w:pPr>
        <w:pStyle w:val="Heading1"/>
        <w:widowControl/>
      </w:pPr>
      <w:r>
        <w:t>Abstract</w:t>
      </w:r>
    </w:p>
    <w:p w14:paraId="42DB12E8" w14:textId="77777777" w:rsidR="00000000" w:rsidRDefault="00F8255B">
      <w:pPr>
        <w:spacing w:before="240"/>
      </w:pPr>
      <w:r>
        <w:t>Abstract goes here</w:t>
      </w:r>
    </w:p>
    <w:p w14:paraId="69711ED4" w14:textId="77777777" w:rsidR="00000000" w:rsidRDefault="00F8255B">
      <w:pPr>
        <w:keepNext/>
        <w:spacing w:before="240" w:after="12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Chapter</w:t>
      </w:r>
    </w:p>
    <w:p w14:paraId="33B88EF9" w14:textId="77777777" w:rsidR="00000000" w:rsidRDefault="00F8255B">
      <w:pPr>
        <w:pStyle w:val="Heading1"/>
        <w:widowControl/>
      </w:pPr>
      <w:r>
        <w:t>Dedication</w:t>
      </w:r>
    </w:p>
    <w:p w14:paraId="4A51A5C5" w14:textId="77777777" w:rsidR="00000000" w:rsidRDefault="00F8255B">
      <w:pPr>
        <w:spacing w:before="240"/>
      </w:pPr>
      <w:r>
        <w:t>To mum and dad</w:t>
      </w:r>
    </w:p>
    <w:p w14:paraId="39516310" w14:textId="77777777" w:rsidR="00000000" w:rsidRDefault="00F8255B">
      <w:pPr>
        <w:keepNext/>
        <w:spacing w:before="240" w:after="12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Chapter</w:t>
      </w:r>
    </w:p>
    <w:p w14:paraId="02523741" w14:textId="77777777" w:rsidR="00000000" w:rsidRDefault="00F8255B">
      <w:pPr>
        <w:pStyle w:val="Heading1"/>
        <w:widowControl/>
      </w:pPr>
      <w:r>
        <w:t>Declaration</w:t>
      </w:r>
    </w:p>
    <w:p w14:paraId="271E754F" w14:textId="77777777" w:rsidR="00000000" w:rsidRDefault="00F8255B">
      <w:pPr>
        <w:spacing w:before="240"/>
      </w:pPr>
      <w:r>
        <w:t>I declare that..</w:t>
      </w:r>
    </w:p>
    <w:p w14:paraId="5687101F" w14:textId="77777777" w:rsidR="00000000" w:rsidRDefault="00F8255B">
      <w:pPr>
        <w:keepNext/>
        <w:spacing w:before="240" w:after="12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Chapter</w:t>
      </w:r>
    </w:p>
    <w:p w14:paraId="16825D7D" w14:textId="77777777" w:rsidR="00000000" w:rsidRDefault="00F8255B">
      <w:pPr>
        <w:pStyle w:val="Heading1"/>
        <w:widowControl/>
      </w:pPr>
      <w:r>
        <w:t>Acknowledg</w:t>
      </w:r>
      <w:r>
        <w:t>ements</w:t>
      </w:r>
    </w:p>
    <w:p w14:paraId="2249514A" w14:textId="77777777" w:rsidR="00000000" w:rsidRDefault="00F8255B">
      <w:pPr>
        <w:spacing w:before="240"/>
      </w:pPr>
      <w:r>
        <w:t>I want to thank...</w:t>
      </w:r>
    </w:p>
    <w:p w14:paraId="71C0454B" w14:textId="77777777" w:rsidR="00000000" w:rsidRDefault="00F8255B">
      <w:pPr>
        <w:pStyle w:val="contentsheading"/>
        <w:widowControl/>
        <w:rPr>
          <w:sz w:val="24"/>
          <w:szCs w:val="24"/>
        </w:rPr>
      </w:pPr>
      <w:r>
        <w:rPr>
          <w:sz w:val="24"/>
          <w:szCs w:val="24"/>
        </w:rPr>
        <w:t xml:space="preserve"> Contents</w:t>
      </w:r>
    </w:p>
    <w:p w14:paraId="782F3E09" w14:textId="77777777" w:rsidR="00000000" w:rsidRDefault="00F8255B"/>
    <w:p w14:paraId="476BDFC5" w14:textId="77777777" w:rsidR="00000000" w:rsidRDefault="00F8255B">
      <w:pPr>
        <w:keepNext/>
        <w:spacing w:before="60" w:after="120"/>
        <w:jc w:val="left"/>
        <w:rPr>
          <w:b/>
          <w:bCs/>
          <w:sz w:val="40"/>
          <w:szCs w:val="40"/>
        </w:rPr>
      </w:pPr>
      <w:r>
        <w:fldChar w:fldCharType="begin"/>
      </w:r>
      <w:r>
        <w:instrText xml:space="preserve">TOC \o "1-3" </w:instrText>
      </w:r>
      <w:r>
        <w:fldChar w:fldCharType="end"/>
      </w:r>
      <w:r>
        <w:br w:type="page"/>
      </w:r>
      <w:r>
        <w:rPr>
          <w:b/>
          <w:bCs/>
          <w:sz w:val="40"/>
          <w:szCs w:val="40"/>
        </w:rPr>
        <w:lastRenderedPageBreak/>
        <w:t>Chapter 1</w:t>
      </w:r>
    </w:p>
    <w:p w14:paraId="10747631" w14:textId="77777777" w:rsidR="00000000" w:rsidRDefault="00F8255B">
      <w:pPr>
        <w:pStyle w:val="Heading1"/>
        <w:widowControl/>
      </w:pPr>
      <w:r>
        <w:t>Introduction</w:t>
      </w:r>
    </w:p>
    <w:p w14:paraId="5EE6DF4F" w14:textId="77777777" w:rsidR="00000000" w:rsidRDefault="00F8255B">
      <w:pPr>
        <w:pStyle w:val="Heading2"/>
        <w:widowControl/>
        <w:spacing w:before="480"/>
      </w:pPr>
      <w:r>
        <w:t>1.1  Scope of research study</w:t>
      </w:r>
    </w:p>
    <w:p w14:paraId="5A11CBAA" w14:textId="77777777" w:rsidR="00000000" w:rsidRDefault="00F8255B">
      <w:pPr>
        <w:pStyle w:val="Heading2"/>
        <w:widowControl/>
        <w:spacing w:before="300"/>
      </w:pPr>
      <w:r>
        <w:t>1.2  Research motivation</w:t>
      </w:r>
    </w:p>
    <w:p w14:paraId="77BF1D29" w14:textId="77777777" w:rsidR="00000000" w:rsidRDefault="00F8255B">
      <w:pPr>
        <w:pStyle w:val="Heading2"/>
        <w:widowControl/>
        <w:spacing w:before="300"/>
      </w:pPr>
      <w:r>
        <w:t>1.3  Research objectives</w:t>
      </w:r>
    </w:p>
    <w:p w14:paraId="79CE9704" w14:textId="77777777" w:rsidR="00000000" w:rsidRDefault="00F8255B">
      <w:pPr>
        <w:pStyle w:val="Heading2"/>
        <w:widowControl/>
        <w:spacing w:before="300"/>
      </w:pPr>
      <w:r>
        <w:t>1.4  Organisation of this document</w:t>
      </w:r>
    </w:p>
    <w:p w14:paraId="05846EAA" w14:textId="77777777" w:rsidR="00000000" w:rsidRDefault="00F8255B">
      <w:pPr>
        <w:keepNext/>
        <w:spacing w:before="60" w:after="120"/>
        <w:jc w:val="left"/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t>Chapter 2</w:t>
      </w:r>
    </w:p>
    <w:p w14:paraId="44962D20" w14:textId="77777777" w:rsidR="00000000" w:rsidRDefault="00F8255B">
      <w:pPr>
        <w:pStyle w:val="Heading1"/>
        <w:widowControl/>
      </w:pPr>
      <w:r>
        <w:t>Literature Review</w:t>
      </w:r>
    </w:p>
    <w:p w14:paraId="504DF566" w14:textId="77777777" w:rsidR="00000000" w:rsidRDefault="00F8255B">
      <w:pPr>
        <w:pStyle w:val="Heading2"/>
        <w:widowControl/>
        <w:spacing w:before="480"/>
      </w:pPr>
      <w:r>
        <w:t>2.1  What is innovation?</w:t>
      </w:r>
    </w:p>
    <w:p w14:paraId="59CC1C8D" w14:textId="77777777" w:rsidR="00000000" w:rsidRDefault="00F8255B">
      <w:pPr>
        <w:pStyle w:val="Heading2"/>
        <w:widowControl/>
        <w:spacing w:before="300"/>
      </w:pPr>
      <w:r>
        <w:t>2.2  Why is innovation important?</w:t>
      </w:r>
    </w:p>
    <w:p w14:paraId="0670268B" w14:textId="77777777" w:rsidR="00000000" w:rsidRDefault="00F8255B">
      <w:pPr>
        <w:pStyle w:val="Heading2"/>
        <w:widowControl/>
        <w:spacing w:before="300"/>
      </w:pPr>
      <w:r>
        <w:t>2.3  Business perspectives of innovation</w:t>
      </w:r>
    </w:p>
    <w:p w14:paraId="17834364" w14:textId="77777777" w:rsidR="00000000" w:rsidRDefault="00F8255B">
      <w:pPr>
        <w:pStyle w:val="Heading3"/>
        <w:widowControl/>
        <w:spacing w:before="180"/>
      </w:pPr>
      <w:r>
        <w:t>2.3.1  Resource-based view</w:t>
      </w:r>
    </w:p>
    <w:p w14:paraId="21BD2334" w14:textId="77777777" w:rsidR="00000000" w:rsidRDefault="00F8255B">
      <w:pPr>
        <w:pStyle w:val="Heading3"/>
        <w:widowControl/>
        <w:spacing w:before="180"/>
      </w:pPr>
      <w:r>
        <w:t>2.3.2  Knowledge-based view</w:t>
      </w:r>
    </w:p>
    <w:p w14:paraId="6FFC4D7E" w14:textId="77777777" w:rsidR="00000000" w:rsidRDefault="00F8255B">
      <w:pPr>
        <w:pStyle w:val="Heading3"/>
        <w:widowControl/>
        <w:spacing w:before="180"/>
      </w:pPr>
      <w:r>
        <w:t>2.3.3  Relation-based view</w:t>
      </w:r>
    </w:p>
    <w:p w14:paraId="3D35BF2E" w14:textId="77777777" w:rsidR="00000000" w:rsidRDefault="00F8255B">
      <w:pPr>
        <w:pStyle w:val="Heading3"/>
        <w:widowControl/>
        <w:spacing w:before="180"/>
      </w:pPr>
      <w:r>
        <w:t>2.3.4  Dynamic capabilities</w:t>
      </w:r>
    </w:p>
    <w:p w14:paraId="51F40A79" w14:textId="77777777" w:rsidR="00000000" w:rsidRDefault="00F8255B">
      <w:pPr>
        <w:pStyle w:val="Heading2"/>
        <w:widowControl/>
        <w:spacing w:before="300"/>
      </w:pPr>
      <w:r>
        <w:t>2.4  The open innovation paradigm</w:t>
      </w:r>
    </w:p>
    <w:p w14:paraId="1A4297BB" w14:textId="77777777" w:rsidR="00000000" w:rsidRDefault="00F8255B">
      <w:pPr>
        <w:pStyle w:val="Heading2"/>
        <w:widowControl/>
        <w:spacing w:before="300"/>
      </w:pPr>
      <w:r>
        <w:t>2.5  Knowledge transfer</w:t>
      </w:r>
    </w:p>
    <w:p w14:paraId="07C39743" w14:textId="77777777" w:rsidR="00000000" w:rsidRDefault="00F8255B">
      <w:pPr>
        <w:pStyle w:val="Heading3"/>
        <w:widowControl/>
        <w:spacing w:before="180"/>
      </w:pPr>
      <w:r>
        <w:t>2.5.1  Absorp</w:t>
      </w:r>
      <w:r>
        <w:t>tive capacity</w:t>
      </w:r>
    </w:p>
    <w:p w14:paraId="758E8CE6" w14:textId="77777777" w:rsidR="00000000" w:rsidRDefault="00F8255B">
      <w:pPr>
        <w:pStyle w:val="Heading3"/>
        <w:widowControl/>
        <w:spacing w:before="180"/>
      </w:pPr>
      <w:r>
        <w:t>2.5.2  Sticky knowledge</w:t>
      </w:r>
    </w:p>
    <w:p w14:paraId="78C05028" w14:textId="77777777" w:rsidR="00000000" w:rsidRDefault="00F8255B">
      <w:pPr>
        <w:pStyle w:val="Heading3"/>
        <w:widowControl/>
        <w:spacing w:before="180"/>
      </w:pPr>
      <w:r>
        <w:t>2.5.3  Network perspective</w:t>
      </w:r>
    </w:p>
    <w:p w14:paraId="04D0116F" w14:textId="77777777" w:rsidR="00000000" w:rsidRDefault="00F8255B">
      <w:pPr>
        <w:pStyle w:val="Heading2"/>
        <w:widowControl/>
        <w:spacing w:before="300"/>
      </w:pPr>
      <w:r>
        <w:t>2.6  Research gaps</w:t>
      </w:r>
    </w:p>
    <w:p w14:paraId="3D398F63" w14:textId="77777777" w:rsidR="00000000" w:rsidRDefault="00F8255B">
      <w:pPr>
        <w:pStyle w:val="Heading2"/>
        <w:widowControl/>
        <w:spacing w:before="300"/>
      </w:pPr>
      <w:r>
        <w:t>2.7  Research questions</w:t>
      </w:r>
    </w:p>
    <w:p w14:paraId="643EAE6A" w14:textId="77777777" w:rsidR="00000000" w:rsidRDefault="00F8255B">
      <w:pPr>
        <w:keepNext/>
        <w:spacing w:before="60" w:after="120"/>
        <w:jc w:val="left"/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t>Chapter 3</w:t>
      </w:r>
    </w:p>
    <w:p w14:paraId="53B61676" w14:textId="77777777" w:rsidR="00000000" w:rsidRDefault="00F8255B">
      <w:pPr>
        <w:pStyle w:val="Heading1"/>
        <w:widowControl/>
      </w:pPr>
      <w:r>
        <w:t>Methodology</w:t>
      </w:r>
    </w:p>
    <w:p w14:paraId="0B8893AC" w14:textId="77777777" w:rsidR="00000000" w:rsidRDefault="00F8255B">
      <w:pPr>
        <w:pStyle w:val="Heading2"/>
        <w:widowControl/>
        <w:spacing w:before="480"/>
      </w:pPr>
      <w:r>
        <w:t>3.1  Research philosophy</w:t>
      </w:r>
    </w:p>
    <w:p w14:paraId="1195E90E" w14:textId="77777777" w:rsidR="00000000" w:rsidRDefault="00F8255B">
      <w:pPr>
        <w:pStyle w:val="Heading2"/>
        <w:widowControl/>
        <w:spacing w:before="300"/>
      </w:pPr>
      <w:r>
        <w:t>3.2  Research design</w:t>
      </w:r>
    </w:p>
    <w:p w14:paraId="3F1A8112" w14:textId="77777777" w:rsidR="00000000" w:rsidRDefault="00F8255B">
      <w:pPr>
        <w:pStyle w:val="Heading3"/>
        <w:widowControl/>
        <w:spacing w:before="180"/>
      </w:pPr>
      <w:r>
        <w:t>3.2.1  Multiple case study approach</w:t>
      </w:r>
    </w:p>
    <w:p w14:paraId="76D67836" w14:textId="77777777" w:rsidR="00000000" w:rsidRDefault="00F8255B">
      <w:pPr>
        <w:pStyle w:val="Heading3"/>
        <w:widowControl/>
        <w:spacing w:before="180"/>
      </w:pPr>
      <w:r>
        <w:t>3.2.2  Mixed method social network analysis</w:t>
      </w:r>
    </w:p>
    <w:p w14:paraId="1CCEA64E" w14:textId="77777777" w:rsidR="00000000" w:rsidRDefault="00F8255B">
      <w:pPr>
        <w:pStyle w:val="Heading3"/>
        <w:widowControl/>
        <w:spacing w:before="180"/>
      </w:pPr>
      <w:r>
        <w:t>3.2.3  Multitheoretical multilevel analytic framework</w:t>
      </w:r>
    </w:p>
    <w:p w14:paraId="3ECECD63" w14:textId="77777777" w:rsidR="00000000" w:rsidRDefault="00F8255B">
      <w:pPr>
        <w:pStyle w:val="Heading2"/>
        <w:widowControl/>
        <w:spacing w:before="300"/>
      </w:pPr>
      <w:r>
        <w:t>3.3  Case Studies</w:t>
      </w:r>
    </w:p>
    <w:p w14:paraId="1EAA1AA5" w14:textId="77777777" w:rsidR="00000000" w:rsidRDefault="00F8255B">
      <w:pPr>
        <w:pStyle w:val="Heading2"/>
        <w:widowControl/>
        <w:spacing w:before="300"/>
      </w:pPr>
      <w:r>
        <w:t>3.4  Quantitative methods</w:t>
      </w:r>
    </w:p>
    <w:p w14:paraId="7ECCF0F2" w14:textId="77777777" w:rsidR="00000000" w:rsidRDefault="00F8255B">
      <w:pPr>
        <w:pStyle w:val="Heading3"/>
        <w:widowControl/>
        <w:spacing w:before="180"/>
      </w:pPr>
      <w:r>
        <w:t>3.4.1  Quantitative data collection</w:t>
      </w:r>
    </w:p>
    <w:p w14:paraId="17447F49" w14:textId="77777777" w:rsidR="00000000" w:rsidRDefault="00F8255B">
      <w:pPr>
        <w:pStyle w:val="Heading4"/>
        <w:widowControl/>
        <w:spacing w:before="180"/>
      </w:pPr>
      <w:r>
        <w:t>Survey participants</w:t>
      </w:r>
    </w:p>
    <w:p w14:paraId="39D3C14D" w14:textId="77777777" w:rsidR="00000000" w:rsidRDefault="00F8255B">
      <w:pPr>
        <w:pStyle w:val="Heading4"/>
        <w:widowControl/>
        <w:spacing w:before="180"/>
      </w:pPr>
      <w:r>
        <w:t>On-line survey</w:t>
      </w:r>
    </w:p>
    <w:p w14:paraId="0BAB8024" w14:textId="77777777" w:rsidR="00000000" w:rsidRDefault="00F8255B">
      <w:pPr>
        <w:pStyle w:val="Heading3"/>
        <w:widowControl/>
        <w:spacing w:before="180"/>
      </w:pPr>
      <w:r>
        <w:t>3.4.2  Quantitative data analysis</w:t>
      </w:r>
    </w:p>
    <w:p w14:paraId="4D5F9E66" w14:textId="77777777" w:rsidR="00000000" w:rsidRDefault="00F8255B">
      <w:pPr>
        <w:pStyle w:val="Heading4"/>
        <w:widowControl/>
        <w:spacing w:before="180"/>
      </w:pPr>
      <w:r>
        <w:t>Centrality measures</w:t>
      </w:r>
    </w:p>
    <w:p w14:paraId="684C872B" w14:textId="77777777" w:rsidR="00000000" w:rsidRDefault="00F8255B">
      <w:pPr>
        <w:pStyle w:val="Heading4"/>
        <w:widowControl/>
        <w:spacing w:before="180"/>
      </w:pPr>
      <w:r>
        <w:t>Exponential random graph modelli</w:t>
      </w:r>
      <w:r>
        <w:t>ng</w:t>
      </w:r>
    </w:p>
    <w:p w14:paraId="5AEA6DD6" w14:textId="77777777" w:rsidR="00000000" w:rsidRDefault="00F8255B">
      <w:pPr>
        <w:pStyle w:val="Heading2"/>
        <w:widowControl/>
        <w:spacing w:before="300"/>
      </w:pPr>
      <w:r>
        <w:t>3.5  Qualitative methods</w:t>
      </w:r>
    </w:p>
    <w:p w14:paraId="6E849630" w14:textId="77777777" w:rsidR="00000000" w:rsidRDefault="00F8255B">
      <w:pPr>
        <w:pStyle w:val="Heading3"/>
        <w:widowControl/>
        <w:spacing w:before="180"/>
      </w:pPr>
      <w:r>
        <w:t>3.5.1  Qualitative data collection</w:t>
      </w:r>
    </w:p>
    <w:p w14:paraId="6F829B68" w14:textId="77777777" w:rsidR="00000000" w:rsidRDefault="00F8255B">
      <w:pPr>
        <w:pStyle w:val="Heading4"/>
        <w:widowControl/>
        <w:spacing w:before="180"/>
      </w:pPr>
      <w:r>
        <w:t>Interview participants</w:t>
      </w:r>
    </w:p>
    <w:p w14:paraId="0090DB3F" w14:textId="77777777" w:rsidR="00000000" w:rsidRDefault="00F8255B">
      <w:pPr>
        <w:pStyle w:val="Heading4"/>
        <w:widowControl/>
        <w:spacing w:before="180"/>
      </w:pPr>
      <w:r>
        <w:t>Semi-structured interviews</w:t>
      </w:r>
    </w:p>
    <w:p w14:paraId="5037BA1B" w14:textId="77777777" w:rsidR="00000000" w:rsidRDefault="00F8255B">
      <w:pPr>
        <w:pStyle w:val="Heading3"/>
        <w:widowControl/>
        <w:spacing w:before="180"/>
      </w:pPr>
      <w:r>
        <w:t>3.5.2  Qualitative data analysis</w:t>
      </w:r>
    </w:p>
    <w:p w14:paraId="04EB7CD3" w14:textId="77777777" w:rsidR="00000000" w:rsidRDefault="00F8255B">
      <w:pPr>
        <w:pStyle w:val="Heading4"/>
        <w:widowControl/>
        <w:spacing w:before="180"/>
      </w:pPr>
      <w:r>
        <w:t>Transcription of recorded interviews</w:t>
      </w:r>
    </w:p>
    <w:p w14:paraId="59204F84" w14:textId="77777777" w:rsidR="00000000" w:rsidRDefault="00F8255B">
      <w:pPr>
        <w:pStyle w:val="Heading4"/>
        <w:widowControl/>
        <w:spacing w:before="180"/>
      </w:pPr>
      <w:r>
        <w:t>Coding of interview transcripts</w:t>
      </w:r>
    </w:p>
    <w:p w14:paraId="479762E1" w14:textId="77777777" w:rsidR="00000000" w:rsidRDefault="00F8255B">
      <w:pPr>
        <w:pStyle w:val="Heading4"/>
        <w:widowControl/>
        <w:spacing w:before="180"/>
      </w:pPr>
      <w:r>
        <w:t>Analysis of codes</w:t>
      </w:r>
    </w:p>
    <w:p w14:paraId="15B9291C" w14:textId="77777777" w:rsidR="00000000" w:rsidRDefault="00F8255B">
      <w:pPr>
        <w:pStyle w:val="Heading2"/>
        <w:widowControl/>
        <w:spacing w:before="300"/>
      </w:pPr>
      <w:r>
        <w:t>3.6  Integrating the qu</w:t>
      </w:r>
      <w:r>
        <w:t>antitative and qualitative phases</w:t>
      </w:r>
    </w:p>
    <w:p w14:paraId="7B6AC2B4" w14:textId="77777777" w:rsidR="00000000" w:rsidRDefault="00F8255B">
      <w:pPr>
        <w:pStyle w:val="Heading3"/>
        <w:widowControl/>
        <w:spacing w:before="180"/>
      </w:pPr>
      <w:r>
        <w:t>3.6.1  Association rule learning</w:t>
      </w:r>
    </w:p>
    <w:p w14:paraId="49BC61AF" w14:textId="77777777" w:rsidR="00000000" w:rsidRDefault="00F8255B">
      <w:pPr>
        <w:pStyle w:val="Heading2"/>
        <w:widowControl/>
        <w:spacing w:before="300"/>
      </w:pPr>
      <w:r>
        <w:t>3.7  Cross-case analysis</w:t>
      </w:r>
    </w:p>
    <w:p w14:paraId="5AFC5ECC" w14:textId="77777777" w:rsidR="00000000" w:rsidRDefault="00F8255B">
      <w:pPr>
        <w:keepNext/>
        <w:spacing w:before="60" w:after="120"/>
        <w:jc w:val="left"/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t>Chapter 4</w:t>
      </w:r>
    </w:p>
    <w:p w14:paraId="1ECDAB5A" w14:textId="77777777" w:rsidR="00000000" w:rsidRDefault="00F8255B">
      <w:pPr>
        <w:pStyle w:val="Heading1"/>
        <w:widowControl/>
      </w:pPr>
      <w:r>
        <w:t>Results</w:t>
      </w:r>
    </w:p>
    <w:p w14:paraId="53335D1B" w14:textId="77777777" w:rsidR="00000000" w:rsidRDefault="00F8255B">
      <w:pPr>
        <w:pStyle w:val="Heading2"/>
        <w:widowControl/>
        <w:spacing w:before="480"/>
      </w:pPr>
      <w:r>
        <w:t>4.1  Case study 1</w:t>
      </w:r>
    </w:p>
    <w:p w14:paraId="7487C499" w14:textId="77777777" w:rsidR="00000000" w:rsidRDefault="00F8255B">
      <w:pPr>
        <w:pStyle w:val="Heading2"/>
        <w:widowControl/>
        <w:spacing w:before="300"/>
      </w:pPr>
      <w:r>
        <w:t>4.2  Case study 2</w:t>
      </w:r>
    </w:p>
    <w:p w14:paraId="178E2216" w14:textId="77777777" w:rsidR="00000000" w:rsidRDefault="00F8255B">
      <w:pPr>
        <w:pStyle w:val="Heading2"/>
        <w:widowControl/>
        <w:spacing w:before="300"/>
      </w:pPr>
      <w:r>
        <w:t>4.3  Case study 3</w:t>
      </w:r>
    </w:p>
    <w:p w14:paraId="42BE6D40" w14:textId="77777777" w:rsidR="00000000" w:rsidRDefault="00F8255B">
      <w:pPr>
        <w:pStyle w:val="Heading2"/>
        <w:widowControl/>
        <w:spacing w:before="300"/>
      </w:pPr>
      <w:r>
        <w:t>4.4  Results of cross-case analysis</w:t>
      </w:r>
    </w:p>
    <w:p w14:paraId="1E720020" w14:textId="77777777" w:rsidR="00000000" w:rsidRDefault="00F8255B">
      <w:pPr>
        <w:keepNext/>
        <w:spacing w:before="60" w:after="120"/>
        <w:jc w:val="left"/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t>Chapter 5</w:t>
      </w:r>
    </w:p>
    <w:p w14:paraId="167B973B" w14:textId="77777777" w:rsidR="00000000" w:rsidRDefault="00F8255B">
      <w:pPr>
        <w:pStyle w:val="Heading1"/>
        <w:widowControl/>
      </w:pPr>
      <w:r>
        <w:t>Discussion</w:t>
      </w:r>
    </w:p>
    <w:p w14:paraId="1E65707A" w14:textId="77777777" w:rsidR="00000000" w:rsidRDefault="00F8255B">
      <w:pPr>
        <w:pStyle w:val="Heading2"/>
        <w:widowControl/>
        <w:spacing w:before="480"/>
      </w:pPr>
      <w:r>
        <w:t>5.1  Social mechanisms of absorptive capacity</w:t>
      </w:r>
    </w:p>
    <w:p w14:paraId="3498BB15" w14:textId="77777777" w:rsidR="00000000" w:rsidRDefault="00F8255B">
      <w:pPr>
        <w:pStyle w:val="Heading2"/>
        <w:widowControl/>
        <w:spacing w:before="300"/>
      </w:pPr>
      <w:r>
        <w:t>5.2  Antecedents of knowledge sharing and knowledge creation</w:t>
      </w:r>
    </w:p>
    <w:p w14:paraId="624DE866" w14:textId="77777777" w:rsidR="00000000" w:rsidRDefault="00F8255B">
      <w:pPr>
        <w:pStyle w:val="Heading3"/>
        <w:widowControl/>
        <w:spacing w:before="180"/>
      </w:pPr>
      <w:r>
        <w:t>5.2.1  Individual factors</w:t>
      </w:r>
    </w:p>
    <w:p w14:paraId="61D96DBD" w14:textId="77777777" w:rsidR="00000000" w:rsidRDefault="00F8255B">
      <w:pPr>
        <w:pStyle w:val="Heading3"/>
        <w:widowControl/>
        <w:spacing w:before="180"/>
      </w:pPr>
      <w:r>
        <w:t>5.2.2  Relational factors</w:t>
      </w:r>
    </w:p>
    <w:p w14:paraId="6D53DFF2" w14:textId="77777777" w:rsidR="00000000" w:rsidRDefault="00F8255B">
      <w:pPr>
        <w:pStyle w:val="Heading3"/>
        <w:widowControl/>
        <w:spacing w:before="180"/>
      </w:pPr>
      <w:r>
        <w:t>5.2.3  Organisational factors</w:t>
      </w:r>
    </w:p>
    <w:p w14:paraId="45C34385" w14:textId="77777777" w:rsidR="00000000" w:rsidRDefault="00F8255B">
      <w:pPr>
        <w:pStyle w:val="Heading2"/>
        <w:widowControl/>
        <w:spacing w:before="300"/>
      </w:pPr>
      <w:r>
        <w:t>5.3  Stickiness of knowledge</w:t>
      </w:r>
    </w:p>
    <w:p w14:paraId="6F0221DA" w14:textId="77777777" w:rsidR="00000000" w:rsidRDefault="00F8255B">
      <w:pPr>
        <w:pStyle w:val="Heading2"/>
        <w:widowControl/>
        <w:spacing w:before="300"/>
      </w:pPr>
      <w:r>
        <w:t>5.4  Multilevel assessment of absorpti</w:t>
      </w:r>
      <w:r>
        <w:t>ve capacity</w:t>
      </w:r>
    </w:p>
    <w:p w14:paraId="3FD98E8C" w14:textId="77777777" w:rsidR="00000000" w:rsidRDefault="00F8255B">
      <w:pPr>
        <w:keepNext/>
        <w:spacing w:before="60" w:after="120"/>
        <w:jc w:val="left"/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t>Chapter 6</w:t>
      </w:r>
    </w:p>
    <w:p w14:paraId="183E6F7F" w14:textId="77777777" w:rsidR="00000000" w:rsidRDefault="00F8255B">
      <w:pPr>
        <w:pStyle w:val="Heading1"/>
        <w:widowControl/>
      </w:pPr>
      <w:r>
        <w:t>Conclusion</w:t>
      </w:r>
    </w:p>
    <w:p w14:paraId="2E481E6C" w14:textId="77777777" w:rsidR="00000000" w:rsidRDefault="00F8255B">
      <w:pPr>
        <w:pStyle w:val="Heading2"/>
        <w:widowControl/>
        <w:spacing w:before="480"/>
      </w:pPr>
      <w:r>
        <w:t>6.1  Study findings</w:t>
      </w:r>
    </w:p>
    <w:p w14:paraId="1FC3F36C" w14:textId="77777777" w:rsidR="00000000" w:rsidRDefault="00F8255B">
      <w:pPr>
        <w:pStyle w:val="Heading2"/>
        <w:widowControl/>
        <w:spacing w:before="300"/>
      </w:pPr>
      <w:r>
        <w:t>6.2  Limitations of this study</w:t>
      </w:r>
    </w:p>
    <w:p w14:paraId="3B5E3613" w14:textId="77777777" w:rsidR="00000000" w:rsidRDefault="00F8255B">
      <w:pPr>
        <w:pStyle w:val="Heading2"/>
        <w:widowControl/>
        <w:spacing w:before="300"/>
      </w:pPr>
      <w:r>
        <w:t>6.3  Implications for management of open innovation</w:t>
      </w:r>
    </w:p>
    <w:p w14:paraId="284D4774" w14:textId="77777777" w:rsidR="00000000" w:rsidRDefault="00F8255B">
      <w:pPr>
        <w:pStyle w:val="Heading2"/>
        <w:widowControl/>
        <w:spacing w:before="300"/>
      </w:pPr>
      <w:r>
        <w:t>6.4  Future research</w:t>
      </w:r>
    </w:p>
    <w:p w14:paraId="37BAEABC" w14:textId="77777777" w:rsidR="00000000" w:rsidRDefault="00F8255B">
      <w:pPr>
        <w:pStyle w:val="bibheading"/>
        <w:widowControl/>
        <w:spacing w:before="180"/>
      </w:pPr>
      <w:r>
        <w:br w:type="page"/>
        <w:t>Bibliography</w:t>
      </w:r>
    </w:p>
    <w:p w14:paraId="18CBED9D" w14:textId="77777777" w:rsidR="00000000" w:rsidRDefault="00F8255B">
      <w:pPr>
        <w:keepNext/>
        <w:spacing w:before="120" w:after="12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Appendix A</w:t>
      </w:r>
    </w:p>
    <w:p w14:paraId="6267662B" w14:textId="77777777" w:rsidR="00000000" w:rsidRDefault="00F8255B">
      <w:pPr>
        <w:pStyle w:val="Heading1"/>
        <w:widowControl/>
      </w:pPr>
      <w:r>
        <w:t>Qualitative analysis code book</w:t>
      </w:r>
    </w:p>
    <w:p w14:paraId="33C75A10" w14:textId="77777777" w:rsidR="00000000" w:rsidRDefault="00F8255B">
      <w:pPr>
        <w:keepNext/>
        <w:spacing w:before="240" w:after="120"/>
        <w:jc w:val="left"/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t>Appendix B</w:t>
      </w:r>
    </w:p>
    <w:p w14:paraId="01D6D482" w14:textId="77777777" w:rsidR="00000000" w:rsidRDefault="00F8255B">
      <w:pPr>
        <w:pStyle w:val="Heading1"/>
        <w:widowControl/>
      </w:pPr>
      <w:r>
        <w:t>Formulae for computing centrality measures</w:t>
      </w:r>
    </w:p>
    <w:p w14:paraId="29A337A6" w14:textId="77777777" w:rsidR="00000000" w:rsidRDefault="00F8255B">
      <w:pPr>
        <w:pStyle w:val="Heading2"/>
        <w:widowControl/>
        <w:spacing w:before="480"/>
      </w:pPr>
      <w:r>
        <w:t>B.1  Freeman’s measure of degree centrality</w:t>
      </w:r>
    </w:p>
    <w:p w14:paraId="759AAC87" w14:textId="77777777" w:rsidR="00000000" w:rsidRDefault="00F8255B">
      <w:pPr>
        <w:pStyle w:val="Heading2"/>
        <w:widowControl/>
        <w:spacing w:before="300"/>
      </w:pPr>
      <w:r>
        <w:t>B.2  Bonacich’s measure of eigenvector centrality</w:t>
      </w:r>
    </w:p>
    <w:p w14:paraId="49D9A3FD" w14:textId="77777777" w:rsidR="00000000" w:rsidRDefault="00F8255B">
      <w:pPr>
        <w:pStyle w:val="Heading2"/>
        <w:widowControl/>
        <w:spacing w:before="300"/>
      </w:pPr>
      <w:r>
        <w:t>B.3  Burt’s measure of constraint</w:t>
      </w:r>
    </w:p>
    <w:p w14:paraId="3D74FEF2" w14:textId="77777777" w:rsidR="00000000" w:rsidRDefault="00F8255B">
      <w:pPr>
        <w:pStyle w:val="Heading2"/>
        <w:widowControl/>
        <w:spacing w:before="300"/>
      </w:pPr>
      <w:r>
        <w:t>B.4  Katz’s measure of subgraph centrality</w:t>
      </w:r>
    </w:p>
    <w:p w14:paraId="4C65622E" w14:textId="77777777" w:rsidR="00000000" w:rsidRDefault="00F8255B">
      <w:pPr>
        <w:keepNext/>
        <w:spacing w:before="60" w:after="120"/>
        <w:jc w:val="left"/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t>Appendix C</w:t>
      </w:r>
    </w:p>
    <w:p w14:paraId="68745780" w14:textId="77777777" w:rsidR="00000000" w:rsidRDefault="00F8255B">
      <w:pPr>
        <w:pStyle w:val="Heading1"/>
        <w:widowControl/>
      </w:pPr>
      <w:r>
        <w:t>R code used in this study</w:t>
      </w:r>
    </w:p>
    <w:p w14:paraId="524DACB4" w14:textId="77777777" w:rsidR="00000000" w:rsidRDefault="00F8255B">
      <w:pPr>
        <w:pStyle w:val="Heading2"/>
        <w:widowControl/>
        <w:spacing w:before="480"/>
      </w:pPr>
      <w:r>
        <w:t xml:space="preserve">C.1 </w:t>
      </w:r>
      <w:r>
        <w:t xml:space="preserve"> Code for computing centrality measures </w:t>
      </w:r>
    </w:p>
    <w:p w14:paraId="08E7621E" w14:textId="77777777" w:rsidR="00000000" w:rsidRDefault="00F8255B">
      <w:pPr>
        <w:pStyle w:val="Heading2"/>
        <w:widowControl/>
        <w:spacing w:before="300"/>
      </w:pPr>
      <w:r>
        <w:t>C.2  Code for generating network visualisations</w:t>
      </w:r>
    </w:p>
    <w:p w14:paraId="2FABBB84" w14:textId="77777777" w:rsidR="00000000" w:rsidRDefault="00F8255B">
      <w:pPr>
        <w:pStyle w:val="Heading2"/>
        <w:widowControl/>
        <w:spacing w:before="300"/>
      </w:pPr>
      <w:r>
        <w:t>C.3  Code for exponential random graph models</w:t>
      </w:r>
    </w:p>
    <w:p w14:paraId="6A458DA5" w14:textId="77777777" w:rsidR="00000000" w:rsidRDefault="00F8255B">
      <w:pPr>
        <w:keepNext/>
        <w:spacing w:before="60" w:after="120"/>
        <w:jc w:val="left"/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t>Appendix D</w:t>
      </w:r>
    </w:p>
    <w:p w14:paraId="0957D2DA" w14:textId="77777777" w:rsidR="00F8255B" w:rsidRDefault="00F8255B">
      <w:pPr>
        <w:pStyle w:val="Heading1"/>
        <w:widowControl/>
      </w:pPr>
      <w:r>
        <w:t>On-line survey items</w:t>
      </w:r>
    </w:p>
    <w:sectPr w:rsidR="00F8255B">
      <w:footerReference w:type="default" r:id="rId7"/>
      <w:pgSz w:w="12280" w:h="15900"/>
      <w:pgMar w:top="1422" w:right="1473" w:bottom="1422" w:left="221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47BD5" w14:textId="77777777" w:rsidR="00F8255B" w:rsidRDefault="00F8255B">
      <w:r>
        <w:separator/>
      </w:r>
    </w:p>
  </w:endnote>
  <w:endnote w:type="continuationSeparator" w:id="0">
    <w:p w14:paraId="1687951B" w14:textId="77777777" w:rsidR="00F8255B" w:rsidRDefault="00F8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CD5F5" w14:textId="77777777" w:rsidR="00000000" w:rsidRDefault="00F8255B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7575F" w14:textId="77777777" w:rsidR="00F8255B" w:rsidRDefault="00F8255B">
      <w:r>
        <w:separator/>
      </w:r>
    </w:p>
  </w:footnote>
  <w:footnote w:type="continuationSeparator" w:id="0">
    <w:p w14:paraId="241173F1" w14:textId="77777777" w:rsidR="00F8255B" w:rsidRDefault="00F82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3E"/>
    <w:rsid w:val="0096083E"/>
    <w:rsid w:val="00F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D651FE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noProof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noProof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noProof/>
      <w:sz w:val="22"/>
      <w:szCs w:val="22"/>
      <w:lang w:val="en-US"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noProof/>
      <w:kern w:val="28"/>
      <w:sz w:val="32"/>
      <w:szCs w:val="32"/>
      <w:lang w:val="en-US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noProof/>
      <w:sz w:val="24"/>
      <w:szCs w:val="24"/>
      <w:lang w:val="en-US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noProof/>
      <w:color w:val="404040" w:themeColor="text1" w:themeTint="BF"/>
      <w:sz w:val="24"/>
      <w:szCs w:val="24"/>
      <w:lang w:val="en-US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  <w:lang w:val="en-US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noProof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noProof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401</Words>
  <Characters>2287</Characters>
  <Application>Microsoft Macintosh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main.tex</dc:title>
  <dc:subject/>
  <dc:creator/>
  <cp:keywords/>
  <dc:description>Created using latex2rtf 2.3.8 r1240 (released June 16 2014) on Fri Jul 17 16:12:49 2015</dc:description>
  <cp:lastModifiedBy>Andrew Terhorst</cp:lastModifiedBy>
  <cp:revision>2</cp:revision>
  <dcterms:created xsi:type="dcterms:W3CDTF">2015-07-17T06:14:00Z</dcterms:created>
  <dcterms:modified xsi:type="dcterms:W3CDTF">2015-07-17T06:14:00Z</dcterms:modified>
</cp:coreProperties>
</file>