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Mathematical</w:t>
      </w:r>
      <w:r>
        <w:t xml:space="preserve"> </w:t>
      </w:r>
      <w:r>
        <w:t xml:space="preserve">characterization</w:t>
      </w:r>
      <w:r>
        <w:t xml:space="preserve"> </w:t>
      </w:r>
      <w:r>
        <w:t xml:space="preserve">of</w:t>
      </w:r>
      <w:r>
        <w:t xml:space="preserve"> </w:t>
      </w:r>
      <w:r>
        <w:t xml:space="preserve">fractal</w:t>
      </w:r>
      <w:r>
        <w:t xml:space="preserve"> </w:t>
      </w:r>
      <w:r>
        <w:t xml:space="preserve">river</w:t>
      </w:r>
      <w:r>
        <w:t xml:space="preserve"> </w:t>
      </w:r>
      <w:r>
        <w:t xml:space="preserve">networks</w:t>
      </w:r>
    </w:p>
    <w:p>
      <w:pPr>
        <w:pStyle w:val="FirstParagraph"/>
      </w:pPr>
      <w:r>
        <w:t xml:space="preserve">Author: Akira Terui</w:t>
      </w:r>
      <w:r>
        <w:rPr>
          <w:vertAlign w:val="superscript"/>
        </w:rPr>
        <w:t xml:space="preserve">1,*</w:t>
      </w:r>
    </w:p>
    <w:p>
      <w:pPr>
        <w:pStyle w:val="BodyText"/>
      </w:pPr>
      <w:r>
        <w:t xml:space="preserve">Email: hanabi0111@gmail.com</w:t>
      </w:r>
    </w:p>
    <w:p>
      <w:pPr>
        <w:pStyle w:val="BodyText"/>
      </w:pPr>
      <w:r>
        <w:rPr>
          <w:vertAlign w:val="superscript"/>
        </w:rPr>
        <w:t xml:space="preserve">1</w:t>
      </w:r>
      <w:r>
        <w:t xml:space="preserve">Department of Biology, University of North Carolina at Greensboro, Greensboro, NC 27410, USA</w:t>
      </w:r>
    </w:p>
    <w:bookmarkStart w:id="58" w:name="maintext"/>
    <w:p>
      <w:pPr>
        <w:pStyle w:val="Heading1"/>
      </w:pPr>
      <w:r>
        <w:t xml:space="preserve">Maintext</w:t>
      </w:r>
    </w:p>
    <w:p>
      <w:pPr>
        <w:pStyle w:val="FirstParagraph"/>
      </w:pPr>
      <w:r>
        <w:t xml:space="preserve">Rivers form complex branching networks, and the ecological implication of river network complexity has gained great interest over the past few decades</w:t>
      </w:r>
      <w:r>
        <w:rPr>
          <w:vertAlign w:val="superscript"/>
        </w:rPr>
        <w:t xml:space="preserve">1–3</w:t>
      </w:r>
      <w:r>
        <w:t xml:space="preserve">. To this end, there have been concerted efforts to construct virtual river networks to provide theoretical insights into how river network structure controls riverine ecological dynamics. Carraro and Altermatt</w:t>
      </w:r>
      <w:r>
        <w:rPr>
          <w:vertAlign w:val="superscript"/>
        </w:rPr>
        <w:t xml:space="preserve">4</w:t>
      </w:r>
      <w:r>
        <w:t xml:space="preserve"> </w:t>
      </w:r>
      <w:r>
        <w:t xml:space="preserve">compared the scaling properties of virtual river networks produced by three different simulation methods – balanced binary trees (BBTs)</w:t>
      </w:r>
      <w:r>
        <w:rPr>
          <w:vertAlign w:val="superscript"/>
        </w:rPr>
        <w:t xml:space="preserve">5</w:t>
      </w:r>
      <w:r>
        <w:t xml:space="preserve">, random branching networks (RBNs)</w:t>
      </w:r>
      <w:r>
        <w:rPr>
          <w:vertAlign w:val="superscript"/>
        </w:rPr>
        <w:t xml:space="preserve">6,7</w:t>
      </w:r>
      <w:r>
        <w:t xml:space="preserve">, and optimal channel networks (OCNs)</w:t>
      </w:r>
      <w:r>
        <w:rPr>
          <w:vertAlign w:val="superscript"/>
        </w:rPr>
        <w:t xml:space="preserve">8</w:t>
      </w:r>
      <w:r>
        <w:t xml:space="preserve">. The first two methods have two parameters that control river network size (order or the number of nodes) and complexity (branching ratio). In the meantime, OCNs are spanning trees that suffice a local minimum of a function describing total energy expenditure across the network. Carraro and Altermatt</w:t>
      </w:r>
      <w:r>
        <w:rPr>
          <w:vertAlign w:val="superscript"/>
        </w:rPr>
        <w:t xml:space="preserve">4</w:t>
      </w:r>
      <w:r>
        <w:t xml:space="preserve"> </w:t>
      </w:r>
      <w:r>
        <w:t xml:space="preserve">performed extensive analysis and concluded that branching ratio is a scale-dependent quantity because the value and its rank change depending on spatial resolutions at which river networks are extracted (expressed as the threshold catchment area</w:t>
      </w:r>
      <w:r>
        <w:t xml:space="preserve"> </w:t>
      </w:r>
      <m:oMath>
        <m:sSub>
          <m:e>
            <m:r>
              <m:t>A</m:t>
            </m:r>
          </m:e>
          <m:sub>
            <m:r>
              <m:t>T</m:t>
            </m:r>
          </m:sub>
        </m:sSub>
      </m:oMath>
      <w:r>
        <w:t xml:space="preserve"> </w:t>
      </w:r>
      <w:r>
        <w:t xml:space="preserve">that initiates channels or pixel size</w:t>
      </w:r>
      <w:r>
        <w:t xml:space="preserve"> </w:t>
      </w:r>
      <m:oMath>
        <m:r>
          <m:t>l</m:t>
        </m:r>
      </m:oMath>
      <w:r>
        <w:t xml:space="preserve">). However, the supporting ground for this conclusion is seriously flawed due to the improper use of scale invariance and units.</w:t>
      </w:r>
    </w:p>
    <w:p>
      <w:pPr>
        <w:pStyle w:val="BodyText"/>
      </w:pPr>
      <w:r>
        <w:t xml:space="preserve">First, the term</w:t>
      </w:r>
      <w:r>
        <w:t xml:space="preserve"> </w:t>
      </w:r>
      <w:r>
        <w:t xml:space="preserve">“</w:t>
      </w:r>
      <w:r>
        <w:t xml:space="preserve">scale invariance</w:t>
      </w:r>
      <w:r>
        <w:t xml:space="preserve">”</w:t>
      </w:r>
      <w:r>
        <w:t xml:space="preserve"> </w:t>
      </w:r>
      <w:r>
        <w:t xml:space="preserve">was falsely used in their article. To explain this, let me consider an object</w:t>
      </w:r>
      <w:r>
        <w:t xml:space="preserve"> </w:t>
      </w:r>
      <m:oMath>
        <m:r>
          <m:t>y</m:t>
        </m:r>
      </m:oMath>
      <w:r>
        <w:t xml:space="preserve"> </w:t>
      </w:r>
      <w:r>
        <w:t xml:space="preserve">whose structural property is assessed under observation scale</w:t>
      </w:r>
      <w:r>
        <w:t xml:space="preserve"> </w:t>
      </w:r>
      <m:oMath>
        <m:r>
          <m:t>x</m:t>
        </m:r>
      </m:oMath>
      <w:r>
        <w:t xml:space="preserve">. For example, Mandelbrot</w:t>
      </w:r>
      <w:r>
        <w:rPr>
          <w:vertAlign w:val="superscript"/>
        </w:rPr>
        <w:t xml:space="preserve">9</w:t>
      </w:r>
      <w:r>
        <w:t xml:space="preserve"> </w:t>
      </w:r>
      <w:r>
        <w:t xml:space="preserve">studied the length of a coastline as multiples of a ruler with a unit length</w:t>
      </w:r>
      <w:r>
        <w:t xml:space="preserve"> </w:t>
      </w:r>
      <m:oMath>
        <m:r>
          <m:t>x</m:t>
        </m:r>
      </m:oMath>
      <w:r>
        <w:t xml:space="preserve"> </w:t>
      </w:r>
      <w:r>
        <w:t xml:space="preserve">(the</w:t>
      </w:r>
      <w:r>
        <w:t xml:space="preserve"> </w:t>
      </w:r>
      <w:r>
        <w:t xml:space="preserve">“</w:t>
      </w:r>
      <w:r>
        <w:t xml:space="preserve">observation scale</w:t>
      </w:r>
      <w:r>
        <w:t xml:space="preserve">”</w:t>
      </w:r>
      <w:r>
        <w:t xml:space="preserve">). In this practice, the observed object is expressed as a function of scale</w:t>
      </w:r>
      <w:r>
        <w:t xml:space="preserve"> </w:t>
      </w:r>
      <m:oMath>
        <m:r>
          <m:t>x</m:t>
        </m:r>
      </m:oMath>
      <w:r>
        <w:t xml:space="preserve"> </w:t>
      </w:r>
      <w:r>
        <w:t xml:space="preserve">(</w:t>
      </w:r>
      <m:oMath>
        <m:r>
          <m:t>y</m:t>
        </m:r>
        <m:r>
          <m:rPr>
            <m:sty m:val="p"/>
          </m:rPr>
          <m:t>=</m:t>
        </m:r>
        <m:r>
          <m:t>f</m:t>
        </m:r>
        <m:d>
          <m:dPr>
            <m:begChr m:val="("/>
            <m:endChr m:val=")"/>
            <m:sepChr m:val=""/>
            <m:grow/>
          </m:dPr>
          <m:e>
            <m:r>
              <m:t>x</m:t>
            </m:r>
          </m:e>
        </m:d>
      </m:oMath>
      <w:r>
        <w:t xml:space="preserve">), and the function</w:t>
      </w:r>
      <w:r>
        <w:t xml:space="preserve"> </w:t>
      </w:r>
      <m:oMath>
        <m:r>
          <m:t>f</m:t>
        </m:r>
        <m:d>
          <m:dPr>
            <m:begChr m:val="("/>
            <m:endChr m:val=")"/>
            <m:sepChr m:val=""/>
            <m:grow/>
          </m:dPr>
          <m:e>
            <m:r>
              <m:t>x</m:t>
            </m:r>
          </m:e>
        </m:d>
      </m:oMath>
      <w:r>
        <w:t xml:space="preserve"> </w:t>
      </w:r>
      <w:r>
        <w:t xml:space="preserve">is said to be scale invariant if it suffices the following equation</w:t>
      </w:r>
      <w:r>
        <w:rPr>
          <w:vertAlign w:val="superscript"/>
        </w:rPr>
        <w:t xml:space="preserve">10,11</w:t>
      </w:r>
      <w:r>
        <w:t xml:space="preserve">:</w:t>
      </w:r>
    </w:p>
    <w:p>
      <w:pPr>
        <w:pStyle w:val="BodyText"/>
      </w:pPr>
      <m:oMathPara>
        <m:oMathParaPr>
          <m:jc m:val="center"/>
        </m:oMathParaPr>
        <m:oMath>
          <m:r>
            <m:t>f</m:t>
          </m:r>
          <m:d>
            <m:dPr>
              <m:begChr m:val="("/>
              <m:endChr m:val=")"/>
              <m:sepChr m:val=""/>
              <m:grow/>
            </m:dPr>
            <m:e>
              <m:r>
                <m:t>λ</m:t>
              </m:r>
              <m:r>
                <m:t>x</m:t>
              </m:r>
            </m:e>
          </m:d>
          <m:r>
            <m:rPr>
              <m:sty m:val="p"/>
            </m:rPr>
            <m:t>=</m:t>
          </m:r>
          <m:sSup>
            <m:e>
              <m:r>
                <m:t>λ</m:t>
              </m:r>
            </m:e>
            <m:sup>
              <m:r>
                <m:t>z</m:t>
              </m:r>
            </m:sup>
          </m:sSup>
          <m:r>
            <m:t>f</m:t>
          </m:r>
          <m:d>
            <m:dPr>
              <m:begChr m:val="("/>
              <m:endChr m:val=")"/>
              <m:sepChr m:val=""/>
              <m:grow/>
            </m:dPr>
            <m:e>
              <m:r>
                <m:t>x</m:t>
              </m:r>
            </m:e>
          </m:d>
        </m:oMath>
      </m:oMathPara>
    </w:p>
    <w:p>
      <w:pPr>
        <w:pStyle w:val="FirstParagraph"/>
      </w:pPr>
      <w:r>
        <w:t xml:space="preserve">where</w:t>
      </w:r>
      <w:r>
        <w:t xml:space="preserve"> </w:t>
      </w:r>
      <m:oMath>
        <m:r>
          <m:t>λ</m:t>
        </m:r>
      </m:oMath>
      <w:r>
        <w:t xml:space="preserve"> </w:t>
      </w:r>
      <w:r>
        <w:t xml:space="preserve">is an arbitrary constant and</w:t>
      </w:r>
      <w:r>
        <w:t xml:space="preserve"> </w:t>
      </w:r>
      <m:oMath>
        <m:r>
          <m:t>z</m:t>
        </m:r>
      </m:oMath>
      <w:r>
        <w:t xml:space="preserve"> </w:t>
      </w:r>
      <w:r>
        <w:t xml:space="preserve">is the scaling exponent. The above equation is interpreted as the proof of</w:t>
      </w:r>
      <w:r>
        <w:t xml:space="preserve"> </w:t>
      </w:r>
      <w:r>
        <w:t xml:space="preserve">“</w:t>
      </w:r>
      <w:r>
        <w:t xml:space="preserve">scale invariance</w:t>
      </w:r>
      <w:r>
        <w:t xml:space="preserve">”</w:t>
      </w:r>
      <w:r>
        <w:t xml:space="preserve"> </w:t>
      </w:r>
      <w:r>
        <w:t xml:space="preserve">because the multiplicative extension/shrink of observation scale</w:t>
      </w:r>
      <w:r>
        <w:t xml:space="preserve"> </w:t>
      </w:r>
      <m:oMath>
        <m:r>
          <m:t>x</m:t>
        </m:r>
      </m:oMath>
      <w:r>
        <w:t xml:space="preserve"> </w:t>
      </w:r>
      <w:r>
        <w:t xml:space="preserve">by factor</w:t>
      </w:r>
      <w:r>
        <w:t xml:space="preserve"> </w:t>
      </w:r>
      <m:oMath>
        <m:r>
          <m:t>λ</m:t>
        </m:r>
      </m:oMath>
      <w:r>
        <w:t xml:space="preserve"> </w:t>
      </w:r>
      <w:r>
        <w:t xml:space="preserve">results in the same shape of the original object</w:t>
      </w:r>
      <w:r>
        <w:t xml:space="preserve"> </w:t>
      </w:r>
      <m:oMath>
        <m:r>
          <m:t>y</m:t>
        </m:r>
      </m:oMath>
      <w:r>
        <w:t xml:space="preserve"> </w:t>
      </w:r>
      <w:r>
        <w:t xml:space="preserve">but with a</w:t>
      </w:r>
      <w:r>
        <w:t xml:space="preserve"> </w:t>
      </w:r>
      <w:r>
        <w:rPr>
          <w:iCs/>
          <w:i/>
        </w:rPr>
        <w:t xml:space="preserve">different scale</w:t>
      </w:r>
      <w:r>
        <w:rPr>
          <w:vertAlign w:val="superscript"/>
        </w:rPr>
        <w:t xml:space="preserve">11</w:t>
      </w:r>
      <w:r>
        <w:t xml:space="preserve"> </w:t>
      </w:r>
      <w:r>
        <w:t xml:space="preserve">(i.e., the structural property is retained).</w:t>
      </w:r>
    </w:p>
    <w:p>
      <w:pPr>
        <w:pStyle w:val="BodyText"/>
      </w:pPr>
      <w:r>
        <w:t xml:space="preserve">The power-law function is the most famous example that suffices this definition of scale invariance</w:t>
      </w:r>
      <w:r>
        <w:rPr>
          <w:vertAlign w:val="superscript"/>
        </w:rPr>
        <w:t xml:space="preserve">10,12</w:t>
      </w:r>
      <w:r>
        <w:t xml:space="preserve">:</w:t>
      </w:r>
    </w:p>
    <w:p>
      <w:pPr>
        <w:pStyle w:val="BodyText"/>
      </w:pPr>
      <m:oMathPara>
        <m:oMathParaPr>
          <m:jc m:val="center"/>
        </m:oMathParaPr>
        <m:oMath>
          <m:r>
            <m:t>y</m:t>
          </m:r>
          <m:r>
            <m:rPr>
              <m:sty m:val="p"/>
            </m:rPr>
            <m:t>=</m:t>
          </m:r>
          <m:r>
            <m:t>f</m:t>
          </m:r>
          <m:d>
            <m:dPr>
              <m:begChr m:val="("/>
              <m:endChr m:val=")"/>
              <m:sepChr m:val=""/>
              <m:grow/>
            </m:dPr>
            <m:e>
              <m:r>
                <m:t>x</m:t>
              </m:r>
            </m:e>
          </m:d>
          <m:r>
            <m:rPr>
              <m:sty m:val="p"/>
            </m:rPr>
            <m:t>=</m:t>
          </m:r>
          <m:r>
            <m:t>c</m:t>
          </m:r>
          <m:sSup>
            <m:e>
              <m:r>
                <m:t>x</m:t>
              </m:r>
            </m:e>
            <m:sup>
              <m:r>
                <m:t>z</m:t>
              </m:r>
            </m:sup>
          </m:sSup>
        </m:oMath>
      </m:oMathPara>
    </w:p>
    <w:p>
      <w:pPr>
        <w:pStyle w:val="FirstParagraph"/>
      </w:pPr>
      <w:r>
        <w:t xml:space="preserve">where</w:t>
      </w:r>
      <w:r>
        <w:t xml:space="preserve"> </w:t>
      </w:r>
      <m:oMath>
        <m:r>
          <m:t>c</m:t>
        </m:r>
      </m:oMath>
      <w:r>
        <w:t xml:space="preserve"> </w:t>
      </w:r>
      <w:r>
        <w:t xml:space="preserve">is the scaling constant. The scale invariance can be easily proved by multiplying the scaling factor</w:t>
      </w:r>
      <w:r>
        <w:t xml:space="preserve"> </w:t>
      </w:r>
      <m:oMath>
        <m:r>
          <m:t>λ</m:t>
        </m:r>
      </m:oMath>
      <w:r>
        <w:t xml:space="preserve">:</w:t>
      </w:r>
    </w:p>
    <w:p>
      <w:pPr>
        <w:pStyle w:val="BodyText"/>
      </w:pPr>
      <m:oMathPara>
        <m:oMathParaPr>
          <m:jc m:val="center"/>
        </m:oMathParaPr>
        <m:oMath>
          <m:r>
            <m:t>y</m:t>
          </m:r>
          <m:r>
            <m:rPr>
              <m:sty m:val="p"/>
            </m:rPr>
            <m:t>′</m:t>
          </m:r>
          <m:r>
            <m:rPr>
              <m:sty m:val="p"/>
            </m:rPr>
            <m:t>=</m:t>
          </m:r>
          <m:r>
            <m:t>f</m:t>
          </m:r>
          <m:d>
            <m:dPr>
              <m:begChr m:val="("/>
              <m:endChr m:val=")"/>
              <m:sepChr m:val=""/>
              <m:grow/>
            </m:dPr>
            <m:e>
              <m:r>
                <m:t>λ</m:t>
              </m:r>
              <m:r>
                <m:t>x</m:t>
              </m:r>
            </m:e>
          </m:d>
          <m:r>
            <m:rPr>
              <m:sty m:val="p"/>
            </m:rPr>
            <m:t>=</m:t>
          </m:r>
          <m:r>
            <m:t>c</m:t>
          </m:r>
          <m:sSup>
            <m:e>
              <m:r>
                <m:t>λ</m:t>
              </m:r>
            </m:e>
            <m:sup>
              <m:r>
                <m:t>z</m:t>
              </m:r>
            </m:sup>
          </m:sSup>
          <m:sSup>
            <m:e>
              <m:r>
                <m:t>x</m:t>
              </m:r>
            </m:e>
            <m:sup>
              <m:r>
                <m:t>z</m:t>
              </m:r>
            </m:sup>
          </m:sSup>
          <m:r>
            <m:rPr>
              <m:sty m:val="p"/>
            </m:rPr>
            <m:t>=</m:t>
          </m:r>
          <m:sSup>
            <m:e>
              <m:r>
                <m:t>λ</m:t>
              </m:r>
            </m:e>
            <m:sup>
              <m:r>
                <m:t>z</m:t>
              </m:r>
            </m:sup>
          </m:sSup>
          <m:r>
            <m:t>f</m:t>
          </m:r>
          <m:d>
            <m:dPr>
              <m:begChr m:val="("/>
              <m:endChr m:val=")"/>
              <m:sepChr m:val=""/>
              <m:grow/>
            </m:dPr>
            <m:e>
              <m:r>
                <m:t>x</m:t>
              </m:r>
            </m:e>
          </m:d>
          <m:r>
            <m:rPr>
              <m:sty m:val="p"/>
            </m:rPr>
            <m:t>=</m:t>
          </m:r>
          <m:sSup>
            <m:e>
              <m:r>
                <m:t>λ</m:t>
              </m:r>
            </m:e>
            <m:sup>
              <m:r>
                <m:t>z</m:t>
              </m:r>
            </m:sup>
          </m:sSup>
          <m:r>
            <m:t>y</m:t>
          </m:r>
        </m:oMath>
      </m:oMathPara>
    </w:p>
    <w:p>
      <w:pPr>
        <w:pStyle w:val="FirstParagraph"/>
      </w:pPr>
      <w:r>
        <w:t xml:space="preserve">Carraro and Altermatt</w:t>
      </w:r>
      <w:r>
        <w:rPr>
          <w:vertAlign w:val="superscript"/>
        </w:rPr>
        <w:t xml:space="preserve">4</w:t>
      </w:r>
      <w:r>
        <w:t xml:space="preserve"> </w:t>
      </w:r>
      <w:r>
        <w:t xml:space="preserve">provided evidence that branching ratio</w:t>
      </w:r>
      <w:r>
        <w:t xml:space="preserve"> </w:t>
      </w:r>
      <m:oMath>
        <m:sSub>
          <m:e>
            <m:r>
              <m:t>p</m:t>
            </m:r>
          </m:e>
          <m:sub>
            <m:r>
              <m:t>r</m:t>
            </m:r>
          </m:sub>
        </m:sSub>
      </m:oMath>
      <w:r>
        <w:t xml:space="preserve"> </w:t>
      </w:r>
      <w:r>
        <w:t xml:space="preserve">follows a power law along the axes of observation scale</w:t>
      </w:r>
      <w:r>
        <w:t xml:space="preserve"> </w:t>
      </w:r>
      <m:oMath>
        <m:sSub>
          <m:e>
            <m:r>
              <m:t>A</m:t>
            </m:r>
          </m:e>
          <m:sub>
            <m:r>
              <m:t>T</m:t>
            </m:r>
          </m:sub>
        </m:sSub>
      </m:oMath>
      <w:r>
        <w:t xml:space="preserve"> </w:t>
      </w:r>
      <w:r>
        <w:t xml:space="preserve">and pixel size</w:t>
      </w:r>
      <w:r>
        <w:t xml:space="preserve"> </w:t>
      </w:r>
      <m:oMath>
        <m:r>
          <m:t>l</m:t>
        </m:r>
      </m:oMath>
      <w:r>
        <w:t xml:space="preserve"> </w:t>
      </w:r>
      <w:r>
        <w:t xml:space="preserve">(i.e., length on a side) using OCNs (Equation 1 in the original article). Also, the authors visually showed that the relationship between</w:t>
      </w:r>
      <w:r>
        <w:t xml:space="preserve"> </w:t>
      </w:r>
      <m:oMath>
        <m:sSub>
          <m:e>
            <m:r>
              <m:t>p</m:t>
            </m:r>
          </m:e>
          <m:sub>
            <m:r>
              <m:t>r</m:t>
            </m:r>
          </m:sub>
        </m:sSub>
      </m:oMath>
      <w:r>
        <w:t xml:space="preserve"> </w:t>
      </w:r>
      <w:r>
        <w:t xml:space="preserve">and</w:t>
      </w:r>
      <w:r>
        <w:t xml:space="preserve"> </w:t>
      </w:r>
      <m:oMath>
        <m:sSub>
          <m:e>
            <m:r>
              <m:t>A</m:t>
            </m:r>
          </m:e>
          <m:sub>
            <m:r>
              <m:t>T</m:t>
            </m:r>
          </m:sub>
        </m:sSub>
      </m:oMath>
      <w:r>
        <w:t xml:space="preserve"> </w:t>
      </w:r>
      <w:r>
        <w:t xml:space="preserve">follows a power-law using the data from 50 real river networks (Figure 3a in the original article). Despite this, the authors claimed that</w:t>
      </w:r>
      <w:r>
        <w:t xml:space="preserve"> </w:t>
      </w:r>
      <w:r>
        <w:t xml:space="preserve">“</w:t>
      </w:r>
      <w:r>
        <w:rPr>
          <w:iCs/>
          <w:i/>
        </w:rPr>
        <w:t xml:space="preserve">Here we show that an alleged property of such random networks (branching probability) is a scale-dependent quantity that does not reflect any recognized metric of rivers’ fractal character</w:t>
      </w:r>
      <w:r>
        <w:t xml:space="preserve">…</w:t>
      </w:r>
      <w:r>
        <w:t xml:space="preserve">”</w:t>
      </w:r>
      <w:r>
        <w:t xml:space="preserve"> </w:t>
      </w:r>
      <w:r>
        <w:t xml:space="preserve">(Abstract) This interpretation is the opposite as it has been defined in the literature of scale-invariance</w:t>
      </w:r>
      <w:r>
        <w:rPr>
          <w:vertAlign w:val="superscript"/>
        </w:rPr>
        <w:t xml:space="preserve">10–13</w:t>
      </w:r>
      <w:r>
        <w:t xml:space="preserve">, including the author’s previous publication</w:t>
      </w:r>
      <w:r>
        <w:rPr>
          <w:vertAlign w:val="superscript"/>
        </w:rPr>
        <w:t xml:space="preserve">14</w:t>
      </w:r>
      <w:r>
        <w:t xml:space="preserve">. Instead, the conclusion derived from their analysis should have been “</w:t>
      </w:r>
      <w:r>
        <w:rPr>
          <w:iCs/>
          <w:i/>
        </w:rPr>
        <w:t xml:space="preserve">branching ratio is a scale invariant feature that reflects rivers’ fractal character.”</w:t>
      </w:r>
    </w:p>
    <w:p>
      <w:pPr>
        <w:pStyle w:val="BodyText"/>
      </w:pPr>
      <w:r>
        <w:t xml:space="preserve">Second, units are inconsistent in their analysis of real river networks. The authors employed the number of pixels as a unit of measurement in their analysis. However, they used different pixel sizes (length on a side) among watersheds (103 m to 1268 m), meaning that the same number of pixels translates into very different lengths and areas. For example, in Figure 3 in the original article, the observation scale</w:t>
      </w:r>
      <w:r>
        <w:t xml:space="preserve"> </w:t>
      </w:r>
      <m:oMath>
        <m:sSub>
          <m:e>
            <m:r>
              <m:t>A</m:t>
            </m:r>
          </m:e>
          <m:sub>
            <m:r>
              <m:t>T</m:t>
            </m:r>
          </m:sub>
        </m:sSub>
      </m:oMath>
      <w:r>
        <w:t xml:space="preserve"> </w:t>
      </w:r>
      <w:r>
        <w:t xml:space="preserve">ranges</w:t>
      </w:r>
      <w:r>
        <w:t xml:space="preserve"> </w:t>
      </w:r>
      <m:oMath>
        <m:r>
          <m:t>20</m:t>
        </m:r>
        <m:r>
          <m:rPr>
            <m:sty m:val="p"/>
          </m:rPr>
          <m:t>−</m:t>
        </m:r>
        <m:r>
          <m:t>500</m:t>
        </m:r>
      </m:oMath>
      <w:r>
        <w:t xml:space="preserve"> </w:t>
      </w:r>
      <w:r>
        <w:t xml:space="preserve">pixels. This pixel range translates into 0.2 – 5.3 km</w:t>
      </w:r>
      <m:oMath>
        <m:sSup>
          <m:e>
            <m:r>
              <m:t>​</m:t>
            </m:r>
          </m:e>
          <m:sup>
            <m:r>
              <m:t>2</m:t>
            </m:r>
          </m:sup>
        </m:sSup>
      </m:oMath>
      <w:r>
        <w:t xml:space="preserve"> </w:t>
      </w:r>
      <w:r>
        <w:t xml:space="preserve">for the Toss river (with smallest pixel size) and 32.2 – 803.9 km</w:t>
      </w:r>
      <m:oMath>
        <m:sSup>
          <m:e>
            <m:r>
              <m:t>​</m:t>
            </m:r>
          </m:e>
          <m:sup>
            <m:r>
              <m:t>2</m:t>
            </m:r>
          </m:sup>
        </m:sSup>
      </m:oMath>
      <w:r>
        <w:t xml:space="preserve"> </w:t>
      </w:r>
      <w:r>
        <w:t xml:space="preserve">for the Stikine river (with largest pixel size). Further, the branching ratio</w:t>
      </w:r>
      <w:r>
        <w:t xml:space="preserve"> </w:t>
      </w:r>
      <m:oMath>
        <m:sSub>
          <m:e>
            <m:r>
              <m:t>p</m:t>
            </m:r>
          </m:e>
          <m:sub>
            <m:r>
              <m:t>r</m:t>
            </m:r>
          </m:sub>
        </m:sSub>
      </m:oMath>
      <w:r>
        <w:t xml:space="preserve"> </w:t>
      </w:r>
      <w:r>
        <w:t xml:space="preserve">is also affected by this variation in pixel size as its unit is [pixel length</w:t>
      </w:r>
      <m:oMath>
        <m:sSup>
          <m:e>
            <m:r>
              <m:t>​</m:t>
            </m:r>
          </m:e>
          <m:sup>
            <m:r>
              <m:rPr>
                <m:sty m:val="p"/>
              </m:rPr>
              <m:t>−</m:t>
            </m:r>
            <m:r>
              <m:t>1</m:t>
            </m:r>
          </m:sup>
        </m:sSup>
      </m:oMath>
      <w:r>
        <w:t xml:space="preserve">]. Once the pixel length is converted to a unit of km, the branching ratio represents the number of links per 0.1 km in Toss, whereas it represents the number of links per 1.3 km in Stikine. Hence, the authors compared values with different units.</w:t>
      </w:r>
    </w:p>
    <w:p>
      <w:pPr>
        <w:pStyle w:val="BodyText"/>
      </w:pPr>
      <w:r>
        <w:t xml:space="preserve">To explore the consequences of inconsistent units, I re-analyzed their data with MERIT Hydro</w:t>
      </w:r>
      <w:r>
        <w:rPr>
          <w:vertAlign w:val="superscript"/>
        </w:rPr>
        <w:t xml:space="preserve">15</w:t>
      </w:r>
      <w:r>
        <w:t xml:space="preserve"> </w:t>
      </w:r>
      <w:r>
        <w:t xml:space="preserve">that has constant pixel size. I extracted river networks with 20 values of</w:t>
      </w:r>
      <w:r>
        <w:t xml:space="preserve"> </w:t>
      </w:r>
      <m:oMath>
        <m:sSub>
          <m:e>
            <m:r>
              <m:t>A</m:t>
            </m:r>
          </m:e>
          <m:sub>
            <m:r>
              <m:t>T</m:t>
            </m:r>
          </m:sub>
        </m:sSub>
      </m:oMath>
      <w:r>
        <w:t xml:space="preserve"> </w:t>
      </w:r>
      <w:r>
        <w:t xml:space="preserve">[km</w:t>
      </w:r>
      <m:oMath>
        <m:sSup>
          <m:e>
            <m:r>
              <m:t>​</m:t>
            </m:r>
          </m:e>
          <m:sup>
            <m:r>
              <m:t>2</m:t>
            </m:r>
          </m:sup>
        </m:sSup>
      </m:oMath>
      <w:r>
        <w:t xml:space="preserve">] (</w:t>
      </w:r>
      <m:oMath>
        <m:sSub>
          <m:e>
            <m:r>
              <m:t>A</m:t>
            </m:r>
          </m:e>
          <m:sub>
            <m:r>
              <m:t>T</m:t>
            </m:r>
          </m:sub>
        </m:sSub>
        <m:r>
          <m:rPr>
            <m:sty m:val="p"/>
          </m:rPr>
          <m:t>=</m:t>
        </m:r>
        <m:r>
          <m:t>1</m:t>
        </m:r>
        <m:r>
          <m:rPr>
            <m:sty m:val="p"/>
          </m:rPr>
          <m:t>,</m:t>
        </m:r>
        <m:r>
          <m:rPr>
            <m:sty m:val="p"/>
          </m:rPr>
          <m:t>.</m:t>
        </m:r>
        <m:r>
          <m:rPr>
            <m:sty m:val="p"/>
          </m:rPr>
          <m:t>.</m:t>
        </m:r>
        <m:r>
          <m:rPr>
            <m:sty m:val="p"/>
          </m:rPr>
          <m:t>.</m:t>
        </m:r>
        <m:r>
          <m:rPr>
            <m:sty m:val="p"/>
          </m:rPr>
          <m:t>,</m:t>
        </m:r>
        <m:r>
          <m:t>1000</m:t>
        </m:r>
      </m:oMath>
      <w:r>
        <w:t xml:space="preserve"> </w:t>
      </w:r>
      <w:r>
        <w:t xml:space="preserve">with an equal interval at a</w:t>
      </w:r>
      <w:r>
        <w:t xml:space="preserve"> </w:t>
      </w:r>
      <m:oMath>
        <m:sSub>
          <m:e>
            <m:r>
              <m:rPr>
                <m:sty m:val="p"/>
              </m:rPr>
              <m:t>log</m:t>
            </m:r>
          </m:e>
          <m:sub>
            <m:r>
              <m:t>10</m:t>
            </m:r>
          </m:sub>
        </m:sSub>
      </m:oMath>
      <w:r>
        <w:t xml:space="preserve"> </w:t>
      </w:r>
      <w:r>
        <w:t xml:space="preserve">scale, but confined to</w:t>
      </w:r>
      <w:r>
        <w:t xml:space="preserve"> </w:t>
      </w:r>
      <m:oMath>
        <m:sSub>
          <m:e>
            <m:r>
              <m:t>A</m:t>
            </m:r>
          </m:e>
          <m:sub>
            <m:r>
              <m:t>T</m:t>
            </m:r>
          </m:sub>
        </m:sSub>
        <m:r>
          <m:rPr>
            <m:sty m:val="p"/>
          </m:rPr>
          <m:t>&lt;</m:t>
        </m:r>
      </m:oMath>
      <w:r>
        <w:t xml:space="preserve"> </w:t>
      </w:r>
      <m:oMath>
        <m:r>
          <m:t>A</m:t>
        </m:r>
      </m:oMath>
      <w:r>
        <w:t xml:space="preserve"> </w:t>
      </w:r>
      <w:r>
        <w:t xml:space="preserve">for small rivers), at which I estimated branching ratio as</w:t>
      </w:r>
      <w:r>
        <w:t xml:space="preserve"> </w:t>
      </w:r>
      <m:oMath>
        <m:sSub>
          <m:e>
            <m:r>
              <m:t>p</m:t>
            </m:r>
          </m:e>
          <m:sub>
            <m:r>
              <m:t>r</m:t>
            </m:r>
          </m:sub>
        </m:sSub>
        <m:r>
          <m:rPr>
            <m:sty m:val="p"/>
          </m:rPr>
          <m:t>=</m:t>
        </m:r>
        <m:f>
          <m:fPr>
            <m:type m:val="bar"/>
          </m:fPr>
          <m:num>
            <m:sSub>
              <m:e>
                <m:r>
                  <m:t>N</m:t>
                </m:r>
              </m:e>
              <m:sub>
                <m:r>
                  <m:t>L</m:t>
                </m:r>
              </m:sub>
            </m:sSub>
          </m:num>
          <m:den>
            <m:r>
              <m:t>N</m:t>
            </m:r>
          </m:den>
        </m:f>
      </m:oMath>
      <w:r>
        <w:t xml:space="preserve"> </w:t>
      </w:r>
      <w:r>
        <w:t xml:space="preserve">[km</w:t>
      </w:r>
      <m:oMath>
        <m:sSup>
          <m:e>
            <m:r>
              <m:t>​</m:t>
            </m:r>
          </m:e>
          <m:sup>
            <m:r>
              <m:rPr>
                <m:sty m:val="p"/>
              </m:rPr>
              <m:t>−</m:t>
            </m:r>
            <m:r>
              <m:t>1</m:t>
            </m:r>
          </m:sup>
        </m:sSup>
      </m:oMath>
      <w:r>
        <w:t xml:space="preserve">].</w:t>
      </w:r>
      <w:r>
        <w:t xml:space="preserve"> </w:t>
      </w:r>
      <m:oMath>
        <m:sSub>
          <m:e>
            <m:r>
              <m:t>p</m:t>
            </m:r>
          </m:e>
          <m:sub>
            <m:r>
              <m:t>r</m:t>
            </m:r>
          </m:sub>
        </m:sSub>
      </m:oMath>
      <w:r>
        <w:t xml:space="preserve"> </w:t>
      </w:r>
      <w:r>
        <w:t xml:space="preserve">is the inverse of the mean link length. Thus, its estimation accuracy is affected by the number of links (i.e., the sample size). To statistically substantiate the power-law of</w:t>
      </w:r>
      <w:r>
        <w:t xml:space="preserve"> </w:t>
      </w:r>
      <m:oMath>
        <m:sSub>
          <m:e>
            <m:r>
              <m:t>p</m:t>
            </m:r>
          </m:e>
          <m:sub>
            <m:r>
              <m:t>r</m:t>
            </m:r>
          </m:sub>
        </m:sSub>
      </m:oMath>
      <w:r>
        <w:t xml:space="preserve">, one must account for this statistical uncertainty. Therefore, I fitted the following log-linear models with robust regression:</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sSub>
                  <m:e>
                    <m:r>
                      <m:rPr>
                        <m:sty m:val="p"/>
                      </m:rPr>
                      <m:t>log</m:t>
                    </m:r>
                  </m:e>
                  <m:sub>
                    <m:r>
                      <m:t>10</m:t>
                    </m:r>
                  </m:sub>
                </m:sSub>
                <m:sSub>
                  <m:e>
                    <m:r>
                      <m:t>p</m:t>
                    </m:r>
                  </m:e>
                  <m:sub>
                    <m:r>
                      <m:t>r</m:t>
                    </m:r>
                    <m:r>
                      <m:rPr>
                        <m:sty m:val="p"/>
                      </m:rPr>
                      <m:t>,</m:t>
                    </m:r>
                    <m:r>
                      <m:t>i</m:t>
                    </m:r>
                  </m:sub>
                </m:sSub>
              </m:e>
              <m:e>
                <m:r>
                  <m:rPr>
                    <m:sty m:val="p"/>
                  </m:rPr>
                  <m:t>=</m:t>
                </m:r>
                <m:sSub>
                  <m:e>
                    <m:r>
                      <m:rPr>
                        <m:sty m:val="p"/>
                      </m:rPr>
                      <m:t>log</m:t>
                    </m:r>
                  </m:e>
                  <m:sub>
                    <m:r>
                      <m:t>10</m:t>
                    </m:r>
                  </m:sub>
                </m:sSub>
                <m:sSub>
                  <m:e>
                    <m:r>
                      <m:t>c</m:t>
                    </m:r>
                  </m:e>
                  <m:sub>
                    <m:r>
                      <m:t>w</m:t>
                    </m:r>
                    <m:d>
                      <m:dPr>
                        <m:begChr m:val="("/>
                        <m:endChr m:val=")"/>
                        <m:sepChr m:val=""/>
                        <m:grow/>
                      </m:dPr>
                      <m:e>
                        <m:r>
                          <m:t>i</m:t>
                        </m:r>
                      </m:e>
                    </m:d>
                  </m:sub>
                </m:sSub>
                <m:r>
                  <m:rPr>
                    <m:sty m:val="p"/>
                  </m:rPr>
                  <m:t>+</m:t>
                </m:r>
                <m:r>
                  <m:t>z</m:t>
                </m:r>
                <m:sSub>
                  <m:e>
                    <m:r>
                      <m:rPr>
                        <m:sty m:val="p"/>
                      </m:rPr>
                      <m:t>log</m:t>
                    </m:r>
                  </m:e>
                  <m:sub>
                    <m:r>
                      <m:t>10</m:t>
                    </m:r>
                  </m:sub>
                </m:sSub>
                <m:sSub>
                  <m:e>
                    <m:r>
                      <m:t>A</m:t>
                    </m:r>
                  </m:e>
                  <m:sub>
                    <m:r>
                      <m:t>T</m:t>
                    </m:r>
                    <m:r>
                      <m:rPr>
                        <m:sty m:val="p"/>
                      </m:rPr>
                      <m:t>,</m:t>
                    </m:r>
                    <m:r>
                      <m:t>i</m:t>
                    </m:r>
                  </m:sub>
                </m:sSub>
                <m:r>
                  <m:rPr>
                    <m:sty m:val="p"/>
                  </m:rPr>
                  <m:t>+</m:t>
                </m:r>
                <m:sSub>
                  <m:e>
                    <m:r>
                      <m:t>ε</m:t>
                    </m:r>
                  </m:e>
                  <m:sub>
                    <m:r>
                      <m:t>i</m:t>
                    </m:r>
                  </m:sub>
                </m:sSub>
              </m:e>
              <m:e/>
              <m:e>
                <m:r>
                  <m:rPr>
                    <m:nor/>
                    <m:sty m:val="p"/>
                  </m:rPr>
                  <m:t>(M0)</m:t>
                </m:r>
              </m:e>
            </m:mr>
            <m:mr>
              <m:e>
                <m:sSub>
                  <m:e>
                    <m:r>
                      <m:rPr>
                        <m:sty m:val="p"/>
                      </m:rPr>
                      <m:t>log</m:t>
                    </m:r>
                  </m:e>
                  <m:sub>
                    <m:r>
                      <m:t>10</m:t>
                    </m:r>
                  </m:sub>
                </m:sSub>
                <m:sSub>
                  <m:e>
                    <m:r>
                      <m:t>p</m:t>
                    </m:r>
                  </m:e>
                  <m:sub>
                    <m:r>
                      <m:t>r</m:t>
                    </m:r>
                    <m:r>
                      <m:rPr>
                        <m:sty m:val="p"/>
                      </m:rPr>
                      <m:t>,</m:t>
                    </m:r>
                    <m:r>
                      <m:t>i</m:t>
                    </m:r>
                  </m:sub>
                </m:sSub>
              </m:e>
              <m:e>
                <m:r>
                  <m:rPr>
                    <m:sty m:val="p"/>
                  </m:rPr>
                  <m:t>=</m:t>
                </m:r>
                <m:sSub>
                  <m:e>
                    <m:r>
                      <m:rPr>
                        <m:sty m:val="p"/>
                      </m:rPr>
                      <m:t>log</m:t>
                    </m:r>
                  </m:e>
                  <m:sub>
                    <m:r>
                      <m:t>10</m:t>
                    </m:r>
                  </m:sub>
                </m:sSub>
                <m:sSub>
                  <m:e>
                    <m:r>
                      <m:t>c</m:t>
                    </m:r>
                  </m:e>
                  <m:sub>
                    <m:r>
                      <m:t>w</m:t>
                    </m:r>
                    <m:d>
                      <m:dPr>
                        <m:begChr m:val="("/>
                        <m:endChr m:val=")"/>
                        <m:sepChr m:val=""/>
                        <m:grow/>
                      </m:dPr>
                      <m:e>
                        <m:r>
                          <m:t>i</m:t>
                        </m:r>
                      </m:e>
                    </m:d>
                  </m:sub>
                </m:sSub>
                <m:r>
                  <m:rPr>
                    <m:sty m:val="p"/>
                  </m:rPr>
                  <m:t>+</m:t>
                </m:r>
                <m:sSub>
                  <m:e>
                    <m:r>
                      <m:t>z</m:t>
                    </m:r>
                  </m:e>
                  <m:sub>
                    <m:r>
                      <m:t>w</m:t>
                    </m:r>
                    <m:d>
                      <m:dPr>
                        <m:begChr m:val="("/>
                        <m:endChr m:val=")"/>
                        <m:sepChr m:val=""/>
                        <m:grow/>
                      </m:dPr>
                      <m:e>
                        <m:r>
                          <m:t>i</m:t>
                        </m:r>
                      </m:e>
                    </m:d>
                  </m:sub>
                </m:sSub>
                <m:sSub>
                  <m:e>
                    <m:r>
                      <m:rPr>
                        <m:sty m:val="p"/>
                      </m:rPr>
                      <m:t>log</m:t>
                    </m:r>
                  </m:e>
                  <m:sub>
                    <m:r>
                      <m:t>10</m:t>
                    </m:r>
                  </m:sub>
                </m:sSub>
                <m:sSub>
                  <m:e>
                    <m:r>
                      <m:t>A</m:t>
                    </m:r>
                  </m:e>
                  <m:sub>
                    <m:r>
                      <m:t>T</m:t>
                    </m:r>
                    <m:r>
                      <m:rPr>
                        <m:sty m:val="p"/>
                      </m:rPr>
                      <m:t>,</m:t>
                    </m:r>
                    <m:r>
                      <m:t>i</m:t>
                    </m:r>
                  </m:sub>
                </m:sSub>
                <m:r>
                  <m:rPr>
                    <m:sty m:val="p"/>
                  </m:rPr>
                  <m:t>+</m:t>
                </m:r>
                <m:sSub>
                  <m:e>
                    <m:r>
                      <m:t>ε</m:t>
                    </m:r>
                  </m:e>
                  <m:sub>
                    <m:r>
                      <m:t>i</m:t>
                    </m:r>
                  </m:sub>
                </m:sSub>
              </m:e>
              <m:e/>
              <m:e>
                <m:r>
                  <m:rPr>
                    <m:nor/>
                    <m:sty m:val="p"/>
                  </m:rPr>
                  <m:t>(M1)</m:t>
                </m:r>
              </m:e>
            </m:mr>
          </m:m>
        </m:oMath>
      </m:oMathPara>
    </w:p>
    <w:p>
      <w:pPr>
        <w:pStyle w:val="FirstParagraph"/>
      </w:pPr>
      <w:r>
        <w:t xml:space="preserve">where</w:t>
      </w:r>
      <w:r>
        <w:t xml:space="preserve"> </w:t>
      </w:r>
      <m:oMath>
        <m:sSub>
          <m:e>
            <m:r>
              <m:t>ε</m:t>
            </m:r>
          </m:e>
          <m:sub>
            <m:r>
              <m:t>i</m:t>
            </m:r>
          </m:sub>
        </m:sSub>
      </m:oMath>
      <w:r>
        <w:t xml:space="preserve"> </w:t>
      </w:r>
      <w:r>
        <w:t xml:space="preserve">is the error term that is properly weighted by Huber’s function. Robust regression analysis is appropriate because it is robust to outliers caused by the small sample size (typical for large</w:t>
      </w:r>
      <w:r>
        <w:t xml:space="preserve"> </w:t>
      </w:r>
      <m:oMath>
        <m:sSub>
          <m:e>
            <m:r>
              <m:t>A</m:t>
            </m:r>
          </m:e>
          <m:sub>
            <m:r>
              <m:t>T</m:t>
            </m:r>
          </m:sub>
        </m:sSub>
      </m:oMath>
      <w:r>
        <w:t xml:space="preserve"> </w:t>
      </w:r>
      <w:r>
        <w:t xml:space="preserve">values). The first model (M0) assumes the</w:t>
      </w:r>
      <w:r>
        <w:t xml:space="preserve"> </w:t>
      </w:r>
      <w:r>
        <w:t xml:space="preserve">“</w:t>
      </w:r>
      <w:r>
        <w:t xml:space="preserve">universal</w:t>
      </w:r>
      <w:r>
        <w:t xml:space="preserve">”</w:t>
      </w:r>
      <w:r>
        <w:t xml:space="preserve"> </w:t>
      </w:r>
      <w:r>
        <w:t xml:space="preserve">scaling with the single exponent</w:t>
      </w:r>
      <w:r>
        <w:t xml:space="preserve"> </w:t>
      </w:r>
      <m:oMath>
        <m:r>
          <m:t>z</m:t>
        </m:r>
      </m:oMath>
      <w:r>
        <w:t xml:space="preserve"> </w:t>
      </w:r>
      <w:r>
        <w:t xml:space="preserve">across watersheds; i.e., the branching ratio at all the</w:t>
      </w:r>
      <w:r>
        <w:t xml:space="preserve"> </w:t>
      </w:r>
      <m:oMath>
        <m:r>
          <m:t>50</m:t>
        </m:r>
      </m:oMath>
      <w:r>
        <w:t xml:space="preserve"> </w:t>
      </w:r>
      <w:r>
        <w:t xml:space="preserve">watersheds follows the same power law with the watershed-specific constant</w:t>
      </w:r>
      <w:r>
        <w:t xml:space="preserve"> </w:t>
      </w:r>
      <m:oMath>
        <m:sSub>
          <m:e>
            <m:r>
              <m:rPr>
                <m:sty m:val="p"/>
              </m:rPr>
              <m:t>log</m:t>
            </m:r>
          </m:e>
          <m:sub>
            <m:r>
              <m:t>10</m:t>
            </m:r>
          </m:sub>
        </m:sSub>
        <m:sSub>
          <m:e>
            <m:r>
              <m:t>c</m:t>
            </m:r>
          </m:e>
          <m:sub>
            <m:r>
              <m:t>w</m:t>
            </m:r>
            <m:d>
              <m:dPr>
                <m:begChr m:val="("/>
                <m:endChr m:val=")"/>
                <m:sepChr m:val=""/>
                <m:grow/>
              </m:dPr>
              <m:e>
                <m:r>
                  <m:t>i</m:t>
                </m:r>
              </m:e>
            </m:d>
          </m:sub>
        </m:sSub>
      </m:oMath>
      <w:r>
        <w:t xml:space="preserve"> </w:t>
      </w:r>
      <w:r>
        <w:t xml:space="preserve">(</w:t>
      </w:r>
      <m:oMath>
        <m:r>
          <m:t>w</m:t>
        </m:r>
        <m:d>
          <m:dPr>
            <m:begChr m:val="("/>
            <m:endChr m:val=")"/>
            <m:sepChr m:val=""/>
            <m:grow/>
          </m:dPr>
          <m:e>
            <m:r>
              <m:t>i</m:t>
            </m:r>
          </m:e>
        </m:d>
      </m:oMath>
      <w:r>
        <w:t xml:space="preserve"> </w:t>
      </w:r>
      <w:r>
        <w:t xml:space="preserve">is watershed</w:t>
      </w:r>
      <w:r>
        <w:t xml:space="preserve"> </w:t>
      </w:r>
      <m:oMath>
        <m:r>
          <m:t>w</m:t>
        </m:r>
      </m:oMath>
      <w:r>
        <w:t xml:space="preserve"> </w:t>
      </w:r>
      <w:r>
        <w:t xml:space="preserve">for a data point</w:t>
      </w:r>
      <w:r>
        <w:t xml:space="preserve"> </w:t>
      </w:r>
      <m:oMath>
        <m:r>
          <m:t>i</m:t>
        </m:r>
      </m:oMath>
      <w:r>
        <w:t xml:space="preserve">). In contrast, the second model (M1) assumes the</w:t>
      </w:r>
      <w:r>
        <w:t xml:space="preserve"> </w:t>
      </w:r>
      <w:r>
        <w:t xml:space="preserve">“</w:t>
      </w:r>
      <w:r>
        <w:t xml:space="preserve">localized</w:t>
      </w:r>
      <w:r>
        <w:t xml:space="preserve">”</w:t>
      </w:r>
      <w:r>
        <w:t xml:space="preserve"> </w:t>
      </w:r>
      <w:r>
        <w:t xml:space="preserve">scaling with the watershed-specific exponent</w:t>
      </w:r>
      <w:r>
        <w:t xml:space="preserve"> </w:t>
      </w:r>
      <m:oMath>
        <m:sSub>
          <m:e>
            <m:r>
              <m:t>z</m:t>
            </m:r>
          </m:e>
          <m:sub>
            <m:r>
              <m:t>w</m:t>
            </m:r>
            <m:d>
              <m:dPr>
                <m:begChr m:val="("/>
                <m:endChr m:val=")"/>
                <m:sepChr m:val=""/>
                <m:grow/>
              </m:dPr>
              <m:e>
                <m:r>
                  <m:t>i</m:t>
                </m:r>
              </m:e>
            </m:d>
          </m:sub>
        </m:sSub>
      </m:oMath>
      <w:r>
        <w:t xml:space="preserve">. I estimated the evidence ratio of the two models using the approximated Bayes Factor (BF)</w:t>
      </w:r>
      <w:r>
        <w:rPr>
          <w:vertAlign w:val="superscript"/>
        </w:rPr>
        <w:t xml:space="preserve">16</w:t>
      </w:r>
      <w:r>
        <w:t xml:space="preserve">, which is defined as</w:t>
      </w:r>
      <w:r>
        <w:t xml:space="preserve"> </w:t>
      </w:r>
      <m:oMath>
        <m:r>
          <m:rPr>
            <m:nor/>
            <m:sty m:val="p"/>
          </m:rPr>
          <m:t>BF</m:t>
        </m:r>
        <m:r>
          <m:rPr>
            <m:sty m:val="p"/>
          </m:rPr>
          <m:t>=</m:t>
        </m:r>
        <m:r>
          <m:rPr>
            <m:sty m:val="p"/>
          </m:rPr>
          <m:t>exp</m:t>
        </m:r>
        <m:d>
          <m:dPr>
            <m:begChr m:val="("/>
            <m:endChr m:val=")"/>
            <m:sepChr m:val=""/>
            <m:grow/>
          </m:dPr>
          <m:e>
            <m:f>
              <m:fPr>
                <m:type m:val="bar"/>
              </m:fPr>
              <m:num>
                <m:r>
                  <m:rPr>
                    <m:nor/>
                    <m:sty m:val="p"/>
                  </m:rPr>
                  <m:t>BIC(M1)</m:t>
                </m:r>
                <m:r>
                  <m:rPr>
                    <m:sty m:val="p"/>
                  </m:rPr>
                  <m:t>−</m:t>
                </m:r>
                <m:r>
                  <m:rPr>
                    <m:nor/>
                    <m:sty m:val="p"/>
                  </m:rPr>
                  <m:t>BIC(M0)</m:t>
                </m:r>
              </m:num>
              <m:den>
                <m:r>
                  <m:t>2</m:t>
                </m:r>
              </m:den>
            </m:f>
          </m:e>
        </m:d>
      </m:oMath>
      <w:r>
        <w:t xml:space="preserve">. In this definition, a value of</w:t>
      </w:r>
      <w:r>
        <w:t xml:space="preserve"> </w:t>
      </w:r>
      <m:oMath>
        <m:r>
          <m:rPr>
            <m:nor/>
            <m:sty m:val="p"/>
          </m:rPr>
          <m:t>BF</m:t>
        </m:r>
        <m:r>
          <m:rPr>
            <m:sty m:val="p"/>
          </m:rPr>
          <m:t>&gt;</m:t>
        </m:r>
        <m:r>
          <m:t>1</m:t>
        </m:r>
      </m:oMath>
      <w:r>
        <w:t xml:space="preserve"> </w:t>
      </w:r>
      <w:r>
        <w:t xml:space="preserve">gives the support for M0 over M1; for example, if</w:t>
      </w:r>
      <w:r>
        <w:t xml:space="preserve"> </w:t>
      </w:r>
      <m:oMath>
        <m:r>
          <m:rPr>
            <m:nor/>
            <m:sty m:val="p"/>
          </m:rPr>
          <m:t>BF</m:t>
        </m:r>
        <m:r>
          <m:rPr>
            <m:sty m:val="p"/>
          </m:rPr>
          <m:t>=</m:t>
        </m:r>
        <m:r>
          <m:t>2</m:t>
        </m:r>
      </m:oMath>
      <w:r>
        <w:t xml:space="preserve">, the model M0 is twice as likely as the model M1.</w:t>
      </w:r>
    </w:p>
    <w:p>
      <w:pPr>
        <w:pStyle w:val="BodyText"/>
      </w:pPr>
      <w:r>
        <w:t xml:space="preserve">The analysis provided decisive support for M0 with</w:t>
      </w:r>
      <w:r>
        <w:t xml:space="preserve"> </w:t>
      </w:r>
      <m:oMath>
        <m:r>
          <m:rPr>
            <m:nor/>
            <m:sty m:val="p"/>
          </m:rPr>
          <m:t>BF</m:t>
        </m:r>
        <m:r>
          <m:rPr>
            <m:sty m:val="p"/>
          </m:rPr>
          <m:t>≈</m:t>
        </m:r>
        <m:r>
          <m:t>3.00</m:t>
        </m:r>
        <m:r>
          <m:rPr>
            <m:sty m:val="p"/>
          </m:rPr>
          <m:t>×</m:t>
        </m:r>
        <m:sSup>
          <m:e>
            <m:r>
              <m:t>10</m:t>
            </m:r>
          </m:e>
          <m:sup>
            <m:r>
              <m:t>20</m:t>
            </m:r>
          </m:sup>
        </m:sSup>
      </m:oMath>
      <w:r>
        <w:t xml:space="preserve">. Under M0, as evident from its model formula, the rank of the expected branching ratio</w:t>
      </w:r>
      <w:r>
        <w:t xml:space="preserve"> </w:t>
      </w:r>
      <m:oMath>
        <m:r>
          <m:rPr>
            <m:nor/>
            <m:sty m:val="p"/>
          </m:rPr>
          <m:t>E</m:t>
        </m:r>
        <m:d>
          <m:dPr>
            <m:begChr m:val="("/>
            <m:endChr m:val=")"/>
            <m:sepChr m:val=""/>
            <m:grow/>
          </m:dPr>
          <m:e>
            <m:sSub>
              <m:e>
                <m:r>
                  <m:rPr>
                    <m:sty m:val="p"/>
                  </m:rPr>
                  <m:t>log</m:t>
                </m:r>
              </m:e>
              <m:sub>
                <m:r>
                  <m:t>10</m:t>
                </m:r>
              </m:sub>
            </m:sSub>
            <m:sSub>
              <m:e>
                <m:r>
                  <m:t>p</m:t>
                </m:r>
              </m:e>
              <m:sub>
                <m:r>
                  <m:t>r</m:t>
                </m:r>
              </m:sub>
            </m:sSub>
          </m:e>
        </m:d>
      </m:oMath>
      <w:r>
        <w:t xml:space="preserve"> </w:t>
      </w:r>
      <w:r>
        <w:t xml:space="preserve">never changed across scales (Figure @ref(fig:fig-pr); see regression lines). This result is inconsistent with the author’s statement</w:t>
      </w:r>
      <w:r>
        <w:t xml:space="preserve"> </w:t>
      </w:r>
      <w:r>
        <w:t xml:space="preserve">“</w:t>
      </w:r>
      <w:r>
        <w:rPr>
          <w:iCs/>
          <w:i/>
        </w:rPr>
        <w:t xml:space="preserve">by extracting different river networks at various scales (i.e., various</w:t>
      </w:r>
      <w:r>
        <w:t xml:space="preserve"> </w:t>
      </w:r>
      <m:oMath>
        <m:sSub>
          <m:e>
            <m:r>
              <m:t>A</m:t>
            </m:r>
          </m:e>
          <m:sub>
            <m:r>
              <m:t>T</m:t>
            </m:r>
          </m:sub>
        </m:sSub>
      </m:oMath>
      <w:r>
        <w:t xml:space="preserve"> </w:t>
      </w:r>
      <w:r>
        <w:t xml:space="preserve">val</w:t>
      </w:r>
      <w:r>
        <w:rPr>
          <w:iCs/>
          <w:i/>
        </w:rPr>
        <w:t xml:space="preserve">ues) and assessing the rivers’ rank in terms of</w:t>
      </w:r>
      <w:r>
        <w:t xml:space="preserve"> </w:t>
      </w:r>
      <m:oMath>
        <m:sSub>
          <m:e>
            <m:r>
              <m:t>p</m:t>
            </m:r>
          </m:e>
          <m:sub>
            <m:r>
              <m:t>r</m:t>
            </m:r>
          </m:sub>
        </m:sSub>
      </m:oMath>
      <w:r>
        <w:rPr>
          <w:iCs/>
          <w:i/>
        </w:rPr>
        <w:t xml:space="preserve">, one observes that rivers that look more ”branching” (i.e., have higher</w:t>
      </w:r>
      <w:r>
        <w:t xml:space="preserve"> </w:t>
      </w:r>
      <m:oMath>
        <m:sSub>
          <m:e>
            <m:r>
              <m:t>p</m:t>
            </m:r>
          </m:e>
          <m:sub>
            <m:r>
              <m:t>r</m:t>
            </m:r>
          </m:sub>
        </m:sSub>
      </m:oMath>
      <w:r>
        <w:rPr>
          <w:iCs/>
          <w:i/>
        </w:rPr>
        <w:t xml:space="preserve">) than others for a given</w:t>
      </w:r>
      <w:r>
        <w:t xml:space="preserve"> </w:t>
      </w:r>
      <m:oMath>
        <m:sSub>
          <m:e>
            <m:r>
              <m:t>A</m:t>
            </m:r>
          </m:e>
          <m:sub>
            <m:r>
              <m:t>T</m:t>
            </m:r>
          </m:sub>
        </m:sSub>
      </m:oMath>
      <w:r>
        <w:t xml:space="preserve"> </w:t>
      </w:r>
      <w:r>
        <w:rPr>
          <w:iCs/>
          <w:i/>
        </w:rPr>
        <w:t xml:space="preserve">value can become less ”branching” for a different</w:t>
      </w:r>
      <w:r>
        <w:t xml:space="preserve"> </w:t>
      </w:r>
      <m:oMath>
        <m:sSub>
          <m:e>
            <m:r>
              <m:t>A</m:t>
            </m:r>
          </m:e>
          <m:sub>
            <m:r>
              <m:t>T</m:t>
            </m:r>
          </m:sub>
        </m:sSub>
      </m:oMath>
      <w:r>
        <w:t xml:space="preserve"> </w:t>
      </w:r>
      <w:r>
        <w:rPr>
          <w:iCs/>
          <w:i/>
        </w:rPr>
        <w:t xml:space="preserve">value (Fig. 3).</w:t>
      </w:r>
      <w:r>
        <w:t xml:space="preserve">”</w:t>
      </w:r>
      <w:r>
        <w:t xml:space="preserve"> </w:t>
      </w:r>
      <w:r>
        <w:t xml:space="preserve">I also must note that I did not find any significant correlation between watershed area</w:t>
      </w:r>
      <w:r>
        <w:t xml:space="preserve"> </w:t>
      </w:r>
      <m:oMath>
        <m:r>
          <m:t>A</m:t>
        </m:r>
      </m:oMath>
      <w:r>
        <w:t xml:space="preserve"> </w:t>
      </w:r>
      <w:r>
        <w:t xml:space="preserve">[km</w:t>
      </w:r>
      <m:oMath>
        <m:sSup>
          <m:e>
            <m:r>
              <m:t>​</m:t>
            </m:r>
          </m:e>
          <m:sup>
            <m:r>
              <m:t>2</m:t>
            </m:r>
          </m:sup>
        </m:sSup>
      </m:oMath>
      <w:r>
        <w:t xml:space="preserve">] and branching ratio</w:t>
      </w:r>
      <w:r>
        <w:t xml:space="preserve"> </w:t>
      </w:r>
      <m:oMath>
        <m:sSub>
          <m:e>
            <m:r>
              <m:t>p</m:t>
            </m:r>
          </m:e>
          <m:sub>
            <m:r>
              <m:t>r</m:t>
            </m:r>
          </m:sub>
        </m:sSub>
      </m:oMath>
      <w:r>
        <w:t xml:space="preserve"> </w:t>
      </w:r>
      <w:r>
        <w:t xml:space="preserve">[km</w:t>
      </w:r>
      <m:oMath>
        <m:sSup>
          <m:e>
            <m:r>
              <m:t>​</m:t>
            </m:r>
          </m:e>
          <m:sup>
            <m:r>
              <m:rPr>
                <m:sty m:val="p"/>
              </m:rPr>
              <m:t>−</m:t>
            </m:r>
            <m:r>
              <m:t>1</m:t>
            </m:r>
          </m:sup>
        </m:sSup>
      </m:oMath>
      <w:r>
        <w:t xml:space="preserve">] when extracted with a constant value of</w:t>
      </w:r>
      <w:r>
        <w:t xml:space="preserve"> </w:t>
      </w:r>
      <m:oMath>
        <m:sSub>
          <m:e>
            <m:r>
              <m:t>A</m:t>
            </m:r>
          </m:e>
          <m:sub>
            <m:r>
              <m:t>T</m:t>
            </m:r>
          </m:sub>
        </m:sSub>
        <m:r>
          <m:rPr>
            <m:sty m:val="p"/>
          </m:rPr>
          <m:t>=</m:t>
        </m:r>
        <m:r>
          <m:t>1</m:t>
        </m:r>
        <m:r>
          <m:t> </m:t>
        </m:r>
        <m:sSup>
          <m:e>
            <m:r>
              <m:rPr>
                <m:nor/>
                <m:sty m:val="p"/>
              </m:rPr>
              <m:t>km</m:t>
            </m:r>
          </m:e>
          <m:sup>
            <m:r>
              <m:t>2</m:t>
            </m:r>
          </m:sup>
        </m:sSup>
      </m:oMath>
      <w:r>
        <w:t xml:space="preserve"> </w:t>
      </w:r>
      <w:r>
        <w:t xml:space="preserve">across watersheds (Spearman’s rank correlation =</w:t>
      </w:r>
      <w:r>
        <w:t xml:space="preserve"> </w:t>
      </w:r>
      <m:oMath>
        <m:r>
          <m:rPr>
            <m:sty m:val="p"/>
          </m:rPr>
          <m:t>−</m:t>
        </m:r>
        <m:r>
          <m:t>0.19</m:t>
        </m:r>
      </m:oMath>
      <w:r>
        <w:t xml:space="preserve">, p-value = 0.19), as opposed to the statement in the original article</w:t>
      </w:r>
      <w:r>
        <w:t xml:space="preserve"> </w:t>
      </w:r>
      <w:r>
        <w:t xml:space="preserve">“</w:t>
      </w:r>
      <w:r>
        <w:t xml:space="preserve">…</w:t>
      </w:r>
      <w:r>
        <w:rPr>
          <w:iCs/>
          <w:i/>
        </w:rPr>
        <w:t xml:space="preserve">if … all of them extracted from the same DEM (same</w:t>
      </w:r>
      <w:r>
        <w:t xml:space="preserve"> </w:t>
      </w:r>
      <m:oMath>
        <m:r>
          <m:t>l</m:t>
        </m:r>
      </m:oMath>
      <w:r>
        <w:t xml:space="preserve"> </w:t>
      </w:r>
      <w:r>
        <w:rPr>
          <w:iCs/>
          <w:i/>
        </w:rPr>
        <w:t xml:space="preserve">and same</w:t>
      </w:r>
      <w:r>
        <w:t xml:space="preserve"> </w:t>
      </w:r>
      <m:oMath>
        <m:sSub>
          <m:e>
            <m:r>
              <m:t>A</m:t>
            </m:r>
          </m:e>
          <m:sub>
            <m:r>
              <m:t>T</m:t>
            </m:r>
          </m:sub>
        </m:sSub>
      </m:oMath>
      <w:r>
        <w:t xml:space="preserve"> </w:t>
      </w:r>
      <w:r>
        <w:rPr>
          <w:iCs/>
          <w:i/>
        </w:rPr>
        <w:t xml:space="preserve">in km</w:t>
      </w:r>
      <m:oMath>
        <m:sSup>
          <m:e>
            <m:r>
              <m:t>​</m:t>
            </m:r>
          </m:e>
          <m:sup>
            <m:r>
              <m:t>2</m:t>
            </m:r>
          </m:sup>
        </m:sSup>
      </m:oMath>
      <w:r>
        <w:rPr>
          <w:iCs/>
          <w:i/>
        </w:rPr>
        <w:t xml:space="preserve">), then the larger river network will appear more branching (i.e., have larger</w:t>
      </w:r>
      <w:r>
        <w:t xml:space="preserve"> </w:t>
      </w:r>
      <m:oMath>
        <m:sSub>
          <m:e>
            <m:r>
              <m:t>p</m:t>
            </m:r>
          </m:e>
          <m:sub>
            <m:r>
              <m:t>r</m:t>
            </m:r>
          </m:sub>
        </m:sSub>
      </m:oMath>
      <w:r>
        <w:rPr>
          <w:iCs/>
          <w:i/>
        </w:rPr>
        <w:t xml:space="preserve">).</w:t>
      </w:r>
      <w:r>
        <w:t xml:space="preserve">”</w:t>
      </w:r>
      <w:r>
        <w:t xml:space="preserve"> </w:t>
      </w:r>
      <w:r>
        <w:t xml:space="preserve">My re-analysis revealed that the author’s conclusion merely reflects the statistical artifact of inconsistent units across watersheds.</w:t>
      </w:r>
    </w:p>
    <w:p>
      <w:pPr>
        <w:pStyle w:val="CaptionedFigure"/>
      </w:pPr>
      <w:r>
        <w:drawing>
          <wp:inline>
            <wp:extent cx="5334000" cy="4000500"/>
            <wp:effectExtent b="0" l="0" r="0" t="0"/>
            <wp:docPr descr="Log-log plot substantiates the power-law scaling of dimensional branching ratio p_r along the axis of observation scale A_T. Colors indicate rivers highlighted in the original article4. Individual data points are shown in dots, whose transparency is proportional to the number of links N_L (i.e., the sample size). Lines are predicted values from the model M0 (i.e., the expected value of branching ratio)." title="" id="21" name="Picture"/>
            <a:graphic>
              <a:graphicData uri="http://schemas.openxmlformats.org/drawingml/2006/picture">
                <pic:pic>
                  <pic:nvPicPr>
                    <pic:cNvPr descr="../output/figure_pr_all.pdf" id="22" name="Picture"/>
                    <pic:cNvPicPr>
                      <a:picLocks noChangeArrowheads="1" noChangeAspect="1"/>
                    </pic:cNvPicPr>
                  </pic:nvPicPr>
                  <pic:blipFill>
                    <a:blip r:embed="rId20"/>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Log-log plot substantiates the power-law scaling of dimensional branching ratio</w:t>
      </w:r>
      <w:r>
        <w:t xml:space="preserve"> </w:t>
      </w:r>
      <m:oMath>
        <m:sSub>
          <m:e>
            <m:r>
              <m:t>p</m:t>
            </m:r>
          </m:e>
          <m:sub>
            <m:r>
              <m:t>r</m:t>
            </m:r>
          </m:sub>
        </m:sSub>
      </m:oMath>
      <w:r>
        <w:t xml:space="preserve"> </w:t>
      </w:r>
      <w:r>
        <w:t xml:space="preserve">along the axis of observation scale</w:t>
      </w:r>
      <w:r>
        <w:t xml:space="preserve"> </w:t>
      </w:r>
      <m:oMath>
        <m:sSub>
          <m:e>
            <m:r>
              <m:t>A</m:t>
            </m:r>
          </m:e>
          <m:sub>
            <m:r>
              <m:t>T</m:t>
            </m:r>
          </m:sub>
        </m:sSub>
      </m:oMath>
      <w:r>
        <w:t xml:space="preserve">. Colors indicate rivers highlighted in the original article</w:t>
      </w:r>
      <w:r>
        <w:rPr>
          <w:vertAlign w:val="superscript"/>
        </w:rPr>
        <w:t xml:space="preserve">4</w:t>
      </w:r>
      <w:r>
        <w:t xml:space="preserve">. Individual data points are shown in dots, whose transparency is proportional to the number of links</w:t>
      </w:r>
      <w:r>
        <w:t xml:space="preserve"> </w:t>
      </w:r>
      <m:oMath>
        <m:sSub>
          <m:e>
            <m:r>
              <m:t>N</m:t>
            </m:r>
          </m:e>
          <m:sub>
            <m:r>
              <m:t>L</m:t>
            </m:r>
          </m:sub>
        </m:sSub>
      </m:oMath>
      <w:r>
        <w:t xml:space="preserve"> </w:t>
      </w:r>
      <w:r>
        <w:t xml:space="preserve">(i.e., the sample size). Lines are predicted values from the model M0 (i.e., the expected value of branching ratio).</w:t>
      </w:r>
    </w:p>
    <w:p>
      <w:pPr>
        <w:pStyle w:val="BodyText"/>
      </w:pPr>
      <w:r>
        <w:t xml:space="preserve">Carraro and Altermatt</w:t>
      </w:r>
      <w:r>
        <w:rPr>
          <w:vertAlign w:val="superscript"/>
        </w:rPr>
        <w:t xml:space="preserve">4</w:t>
      </w:r>
      <w:r>
        <w:t xml:space="preserve"> </w:t>
      </w:r>
      <w:r>
        <w:t xml:space="preserve">offered an important perspective on the use of the different classes of virtual river networks. Therefore, a full re-interpretation/re-analysis is warranted to provide useful insights into how we assess river network structure.</w:t>
      </w:r>
    </w:p>
    <w:bookmarkStart w:id="24" w:name="data-availability"/>
    <w:p>
      <w:pPr>
        <w:pStyle w:val="Heading2"/>
      </w:pPr>
      <w:r>
        <w:t xml:space="preserve">Data availability</w:t>
      </w:r>
    </w:p>
    <w:p>
      <w:pPr>
        <w:pStyle w:val="FirstParagraph"/>
      </w:pPr>
      <w:r>
        <w:t xml:space="preserve">Codes and data are available at</w:t>
      </w:r>
      <w:r>
        <w:t xml:space="preserve"> </w:t>
      </w:r>
      <w:hyperlink r:id="rId23">
        <w:r>
          <w:rPr>
            <w:rStyle w:val="Hyperlink"/>
          </w:rPr>
          <w:t xml:space="preserve">https://github.com/aterui/public-proj_fractal-river</w:t>
        </w:r>
      </w:hyperlink>
      <w:r>
        <w:t xml:space="preserve">.</w:t>
      </w:r>
    </w:p>
    <w:bookmarkEnd w:id="24"/>
    <w:bookmarkStart w:id="25" w:name="competing-interest"/>
    <w:p>
      <w:pPr>
        <w:pStyle w:val="Heading2"/>
      </w:pPr>
      <w:r>
        <w:t xml:space="preserve">Competing interest</w:t>
      </w:r>
    </w:p>
    <w:p>
      <w:pPr>
        <w:pStyle w:val="FirstParagraph"/>
      </w:pPr>
      <w:r>
        <w:t xml:space="preserve">None declared.</w:t>
      </w:r>
    </w:p>
    <w:bookmarkEnd w:id="25"/>
    <w:bookmarkStart w:id="57" w:name="reference"/>
    <w:p>
      <w:pPr>
        <w:pStyle w:val="Heading2"/>
      </w:pPr>
      <w:r>
        <w:t xml:space="preserve">Reference</w:t>
      </w:r>
    </w:p>
    <w:bookmarkStart w:id="56" w:name="refs"/>
    <w:bookmarkStart w:id="26" w:name="ref-grantLivingBranchesPopulation2007"/>
    <w:p>
      <w:pPr>
        <w:pStyle w:val="Bibliography"/>
      </w:pPr>
      <w:r>
        <w:t xml:space="preserve">1.</w:t>
      </w:r>
      <w:r>
        <w:t xml:space="preserve"> </w:t>
      </w:r>
      <w:r>
        <w:t xml:space="preserve">	</w:t>
      </w:r>
      <w:r>
        <w:t xml:space="preserve">Grant, E. H. C., Lowe, W. H. &amp; Fagan, W. F. Living in the branches: Population dynamics and ecological processes in dendritic networks.</w:t>
      </w:r>
      <w:r>
        <w:t xml:space="preserve"> </w:t>
      </w:r>
      <w:r>
        <w:rPr>
          <w:iCs/>
          <w:i/>
        </w:rPr>
        <w:t xml:space="preserve">Ecology Letters</w:t>
      </w:r>
      <w:r>
        <w:t xml:space="preserve"> </w:t>
      </w:r>
      <w:r>
        <w:rPr>
          <w:bCs/>
          <w:b/>
        </w:rPr>
        <w:t xml:space="preserve">10</w:t>
      </w:r>
      <w:r>
        <w:t xml:space="preserve">, 165–175 (2007).</w:t>
      </w:r>
    </w:p>
    <w:bookmarkEnd w:id="26"/>
    <w:bookmarkStart w:id="28" w:name="X4927176db44b381d4c5c91afe15ab102bd65634"/>
    <w:p>
      <w:pPr>
        <w:pStyle w:val="Bibliography"/>
      </w:pPr>
      <w:r>
        <w:t xml:space="preserve">2.</w:t>
      </w:r>
      <w:r>
        <w:t xml:space="preserve"> </w:t>
      </w:r>
      <w:r>
        <w:t xml:space="preserve">	</w:t>
      </w:r>
      <w:r>
        <w:t xml:space="preserve">Carrara, F., Altermatt, F., Rodriguez-Iturbe, I. &amp; Rinaldo, A.</w:t>
      </w:r>
      <w:r>
        <w:t xml:space="preserve"> </w:t>
      </w:r>
      <w:hyperlink r:id="rId27">
        <w:r>
          <w:rPr>
            <w:rStyle w:val="Hyperlink"/>
          </w:rPr>
          <w:t xml:space="preserve">Dendritic connectivity controls biodiversity patterns in experimental metacommunities</w:t>
        </w:r>
      </w:hyperlink>
      <w:r>
        <w:t xml:space="preserve">.</w:t>
      </w:r>
      <w:r>
        <w:t xml:space="preserve"> </w:t>
      </w:r>
      <w:r>
        <w:rPr>
          <w:iCs/>
          <w:i/>
        </w:rPr>
        <w:t xml:space="preserve">Proceedings of the National Academy of Sciences</w:t>
      </w:r>
      <w:r>
        <w:t xml:space="preserve"> </w:t>
      </w:r>
      <w:r>
        <w:rPr>
          <w:bCs/>
          <w:b/>
        </w:rPr>
        <w:t xml:space="preserve">109</w:t>
      </w:r>
      <w:r>
        <w:t xml:space="preserve">, 5761–5766 (2012).</w:t>
      </w:r>
    </w:p>
    <w:bookmarkEnd w:id="28"/>
    <w:bookmarkStart w:id="30" w:name="X56948fcdfc3f01a59be8c757e7f7505fce5a0fd"/>
    <w:p>
      <w:pPr>
        <w:pStyle w:val="Bibliography"/>
      </w:pPr>
      <w:r>
        <w:t xml:space="preserve">3.</w:t>
      </w:r>
      <w:r>
        <w:t xml:space="preserve"> </w:t>
      </w:r>
      <w:r>
        <w:t xml:space="preserve">	</w:t>
      </w:r>
      <w:r>
        <w:t xml:space="preserve">Mari, L., Casagrandi, R., Bertuzzo, E., Rinaldo, A. &amp; Gatto, M.</w:t>
      </w:r>
      <w:r>
        <w:t xml:space="preserve"> </w:t>
      </w:r>
      <w:hyperlink r:id="rId29">
        <w:r>
          <w:rPr>
            <w:rStyle w:val="Hyperlink"/>
          </w:rPr>
          <w:t xml:space="preserve">Metapopulation persistence and species spread in river networks</w:t>
        </w:r>
      </w:hyperlink>
      <w:r>
        <w:t xml:space="preserve">.</w:t>
      </w:r>
      <w:r>
        <w:t xml:space="preserve"> </w:t>
      </w:r>
      <w:r>
        <w:rPr>
          <w:iCs/>
          <w:i/>
        </w:rPr>
        <w:t xml:space="preserve">Ecology Letters</w:t>
      </w:r>
      <w:r>
        <w:t xml:space="preserve"> </w:t>
      </w:r>
      <w:r>
        <w:rPr>
          <w:bCs/>
          <w:b/>
        </w:rPr>
        <w:t xml:space="preserve">17</w:t>
      </w:r>
      <w:r>
        <w:t xml:space="preserve">, 426–34 (2014).</w:t>
      </w:r>
    </w:p>
    <w:bookmarkEnd w:id="30"/>
    <w:bookmarkStart w:id="32" w:name="ref-carraroOptimalChannelNetworks2022"/>
    <w:p>
      <w:pPr>
        <w:pStyle w:val="Bibliography"/>
      </w:pPr>
      <w:r>
        <w:t xml:space="preserve">4.</w:t>
      </w:r>
      <w:r>
        <w:t xml:space="preserve"> </w:t>
      </w:r>
      <w:r>
        <w:t xml:space="preserve">	</w:t>
      </w:r>
      <w:r>
        <w:t xml:space="preserve">Carraro, L. &amp; Altermatt, F.</w:t>
      </w:r>
      <w:r>
        <w:t xml:space="preserve"> </w:t>
      </w:r>
      <w:hyperlink r:id="rId31">
        <w:r>
          <w:rPr>
            <w:rStyle w:val="Hyperlink"/>
          </w:rPr>
          <w:t xml:space="preserve">Optimal</w:t>
        </w:r>
        <w:r>
          <w:rPr>
            <w:rStyle w:val="Hyperlink"/>
          </w:rPr>
          <w:t xml:space="preserve"> </w:t>
        </w:r>
        <w:r>
          <w:rPr>
            <w:rStyle w:val="Hyperlink"/>
          </w:rPr>
          <w:t xml:space="preserve">Channel Networks</w:t>
        </w:r>
        <w:r>
          <w:rPr>
            <w:rStyle w:val="Hyperlink"/>
          </w:rPr>
          <w:t xml:space="preserve"> </w:t>
        </w:r>
        <w:r>
          <w:rPr>
            <w:rStyle w:val="Hyperlink"/>
          </w:rPr>
          <w:t xml:space="preserve">accurately model ecologically-relevant geomorphological features of branching river networks</w:t>
        </w:r>
      </w:hyperlink>
      <w:r>
        <w:t xml:space="preserve">.</w:t>
      </w:r>
      <w:r>
        <w:t xml:space="preserve"> </w:t>
      </w:r>
      <w:r>
        <w:rPr>
          <w:iCs/>
          <w:i/>
        </w:rPr>
        <w:t xml:space="preserve">Communications Earth &amp; Environment</w:t>
      </w:r>
      <w:r>
        <w:t xml:space="preserve"> </w:t>
      </w:r>
      <w:r>
        <w:rPr>
          <w:bCs/>
          <w:b/>
        </w:rPr>
        <w:t xml:space="preserve">3</w:t>
      </w:r>
      <w:r>
        <w:t xml:space="preserve">, 1–10 (2022).</w:t>
      </w:r>
    </w:p>
    <w:bookmarkEnd w:id="32"/>
    <w:bookmarkStart w:id="34" w:name="X3d8d5e422975803ce85866e71d5573479a3b389"/>
    <w:p>
      <w:pPr>
        <w:pStyle w:val="Bibliography"/>
      </w:pPr>
      <w:r>
        <w:t xml:space="preserve">5.</w:t>
      </w:r>
      <w:r>
        <w:t xml:space="preserve"> </w:t>
      </w:r>
      <w:r>
        <w:t xml:space="preserve">	</w:t>
      </w:r>
      <w:r>
        <w:t xml:space="preserve">Yeakel, J. D., Moore, J. W., Guimarães, P. R. &amp; de Aguiar, M. A. M.</w:t>
      </w:r>
      <w:r>
        <w:t xml:space="preserve"> </w:t>
      </w:r>
      <w:hyperlink r:id="rId33">
        <w:r>
          <w:rPr>
            <w:rStyle w:val="Hyperlink"/>
          </w:rPr>
          <w:t xml:space="preserve">Synchronisation and stability in river metapopulation networks</w:t>
        </w:r>
      </w:hyperlink>
      <w:r>
        <w:t xml:space="preserve">.</w:t>
      </w:r>
      <w:r>
        <w:t xml:space="preserve"> </w:t>
      </w:r>
      <w:r>
        <w:rPr>
          <w:iCs/>
          <w:i/>
        </w:rPr>
        <w:t xml:space="preserve">Ecology Letters</w:t>
      </w:r>
      <w:r>
        <w:t xml:space="preserve"> </w:t>
      </w:r>
      <w:r>
        <w:rPr>
          <w:bCs/>
          <w:b/>
        </w:rPr>
        <w:t xml:space="preserve">17</w:t>
      </w:r>
      <w:r>
        <w:t xml:space="preserve">, 273–283 (2014).</w:t>
      </w:r>
    </w:p>
    <w:bookmarkEnd w:id="34"/>
    <w:bookmarkStart w:id="36" w:name="X7a93b6a5ed35b56104b34b95008113e84c2e73b"/>
    <w:p>
      <w:pPr>
        <w:pStyle w:val="Bibliography"/>
      </w:pPr>
      <w:r>
        <w:t xml:space="preserve">6.</w:t>
      </w:r>
      <w:r>
        <w:t xml:space="preserve"> </w:t>
      </w:r>
      <w:r>
        <w:t xml:space="preserve">	</w:t>
      </w:r>
      <w:r>
        <w:t xml:space="preserve">Terui, A.</w:t>
      </w:r>
      <w:r>
        <w:t xml:space="preserve"> </w:t>
      </w:r>
      <w:r>
        <w:rPr>
          <w:iCs/>
          <w:i/>
        </w:rPr>
        <w:t xml:space="preserve">et al.</w:t>
      </w:r>
      <w:r>
        <w:t xml:space="preserve"> </w:t>
      </w:r>
      <w:hyperlink r:id="rId35">
        <w:r>
          <w:rPr>
            <w:rStyle w:val="Hyperlink"/>
          </w:rPr>
          <w:t xml:space="preserve">Metapopulation stability in branching river networks</w:t>
        </w:r>
      </w:hyperlink>
      <w:r>
        <w:t xml:space="preserve">.</w:t>
      </w:r>
      <w:r>
        <w:t xml:space="preserve"> </w:t>
      </w:r>
      <w:r>
        <w:rPr>
          <w:iCs/>
          <w:i/>
        </w:rPr>
        <w:t xml:space="preserve">Proceedings of the National Academy of Sciences</w:t>
      </w:r>
      <w:r>
        <w:t xml:space="preserve"> </w:t>
      </w:r>
      <w:r>
        <w:rPr>
          <w:bCs/>
          <w:b/>
        </w:rPr>
        <w:t xml:space="preserve">115</w:t>
      </w:r>
      <w:r>
        <w:t xml:space="preserve">, E5963–E5969 (2018).</w:t>
      </w:r>
    </w:p>
    <w:bookmarkEnd w:id="36"/>
    <w:bookmarkStart w:id="38" w:name="ref-teruiEmergentDualScaling2021"/>
    <w:p>
      <w:pPr>
        <w:pStyle w:val="Bibliography"/>
      </w:pPr>
      <w:r>
        <w:t xml:space="preserve">7.</w:t>
      </w:r>
      <w:r>
        <w:t xml:space="preserve"> </w:t>
      </w:r>
      <w:r>
        <w:t xml:space="preserve">	</w:t>
      </w:r>
      <w:r>
        <w:t xml:space="preserve">Terui, A., Kim, S., Dolph, C. L., Kadoya, T. &amp; Miyazaki, Y.</w:t>
      </w:r>
      <w:r>
        <w:t xml:space="preserve"> </w:t>
      </w:r>
      <w:hyperlink r:id="rId37">
        <w:r>
          <w:rPr>
            <w:rStyle w:val="Hyperlink"/>
          </w:rPr>
          <w:t xml:space="preserve">Emergent dual scaling of riverine biodiversity</w:t>
        </w:r>
      </w:hyperlink>
      <w:r>
        <w:t xml:space="preserve">.</w:t>
      </w:r>
      <w:r>
        <w:t xml:space="preserve"> </w:t>
      </w:r>
      <w:r>
        <w:rPr>
          <w:iCs/>
          <w:i/>
        </w:rPr>
        <w:t xml:space="preserve">Proceedings of the National Academy of Sciences</w:t>
      </w:r>
      <w:r>
        <w:t xml:space="preserve"> </w:t>
      </w:r>
      <w:r>
        <w:rPr>
          <w:bCs/>
          <w:b/>
        </w:rPr>
        <w:t xml:space="preserve">118</w:t>
      </w:r>
      <w:r>
        <w:t xml:space="preserve">, e2105574118 (2021).</w:t>
      </w:r>
    </w:p>
    <w:bookmarkEnd w:id="38"/>
    <w:bookmarkStart w:id="40" w:name="X79eb7746fef63872c4f0d376b77455282297fa4"/>
    <w:p>
      <w:pPr>
        <w:pStyle w:val="Bibliography"/>
      </w:pPr>
      <w:r>
        <w:t xml:space="preserve">8.</w:t>
      </w:r>
      <w:r>
        <w:t xml:space="preserve"> </w:t>
      </w:r>
      <w:r>
        <w:t xml:space="preserve">	</w:t>
      </w:r>
      <w:r>
        <w:t xml:space="preserve">Carraro, L.</w:t>
      </w:r>
      <w:r>
        <w:t xml:space="preserve"> </w:t>
      </w:r>
      <w:r>
        <w:rPr>
          <w:iCs/>
          <w:i/>
        </w:rPr>
        <w:t xml:space="preserve">et al.</w:t>
      </w:r>
      <w:r>
        <w:t xml:space="preserve"> </w:t>
      </w:r>
      <w:hyperlink r:id="rId39">
        <w:r>
          <w:rPr>
            <w:rStyle w:val="Hyperlink"/>
          </w:rPr>
          <w:t xml:space="preserve">Generation and application of river network analogues for use in ecology and evolution</w:t>
        </w:r>
      </w:hyperlink>
      <w:r>
        <w:t xml:space="preserve">.</w:t>
      </w:r>
      <w:r>
        <w:t xml:space="preserve"> </w:t>
      </w:r>
      <w:r>
        <w:rPr>
          <w:iCs/>
          <w:i/>
        </w:rPr>
        <w:t xml:space="preserve">Ecology and Evolution</w:t>
      </w:r>
      <w:r>
        <w:t xml:space="preserve"> </w:t>
      </w:r>
      <w:r>
        <w:rPr>
          <w:bCs/>
          <w:b/>
        </w:rPr>
        <w:t xml:space="preserve">10</w:t>
      </w:r>
      <w:r>
        <w:t xml:space="preserve">, 7537–7550 (2020).</w:t>
      </w:r>
    </w:p>
    <w:bookmarkEnd w:id="40"/>
    <w:bookmarkStart w:id="42" w:name="ref-mandelbrotHowLongCoast1967"/>
    <w:p>
      <w:pPr>
        <w:pStyle w:val="Bibliography"/>
      </w:pPr>
      <w:r>
        <w:t xml:space="preserve">9.</w:t>
      </w:r>
      <w:r>
        <w:t xml:space="preserve"> </w:t>
      </w:r>
      <w:r>
        <w:t xml:space="preserve">	</w:t>
      </w:r>
      <w:r>
        <w:t xml:space="preserve">Mandelbrot, B.</w:t>
      </w:r>
      <w:r>
        <w:t xml:space="preserve"> </w:t>
      </w:r>
      <w:hyperlink r:id="rId41">
        <w:r>
          <w:rPr>
            <w:rStyle w:val="Hyperlink"/>
          </w:rPr>
          <w:t xml:space="preserve">How long is the coast of</w:t>
        </w:r>
        <w:r>
          <w:rPr>
            <w:rStyle w:val="Hyperlink"/>
          </w:rPr>
          <w:t xml:space="preserve"> </w:t>
        </w:r>
        <w:r>
          <w:rPr>
            <w:rStyle w:val="Hyperlink"/>
          </w:rPr>
          <w:t xml:space="preserve">Britain</w:t>
        </w:r>
        <w:r>
          <w:rPr>
            <w:rStyle w:val="Hyperlink"/>
          </w:rPr>
          <w:t xml:space="preserve">?</w:t>
        </w:r>
        <w:r>
          <w:rPr>
            <w:rStyle w:val="Hyperlink"/>
          </w:rPr>
          <w:t xml:space="preserve"> </w:t>
        </w:r>
        <w:r>
          <w:rPr>
            <w:rStyle w:val="Hyperlink"/>
          </w:rPr>
          <w:t xml:space="preserve">Statistical</w:t>
        </w:r>
        <w:r>
          <w:rPr>
            <w:rStyle w:val="Hyperlink"/>
          </w:rPr>
          <w:t xml:space="preserve"> </w:t>
        </w:r>
        <w:r>
          <w:rPr>
            <w:rStyle w:val="Hyperlink"/>
          </w:rPr>
          <w:t xml:space="preserve">self-similarity and fractional dimension</w:t>
        </w:r>
      </w:hyperlink>
      <w:r>
        <w:t xml:space="preserve">.</w:t>
      </w:r>
      <w:r>
        <w:t xml:space="preserve"> </w:t>
      </w:r>
      <w:r>
        <w:rPr>
          <w:iCs/>
          <w:i/>
        </w:rPr>
        <w:t xml:space="preserve">Science</w:t>
      </w:r>
      <w:r>
        <w:t xml:space="preserve"> </w:t>
      </w:r>
      <w:r>
        <w:rPr>
          <w:bCs/>
          <w:b/>
        </w:rPr>
        <w:t xml:space="preserve">156</w:t>
      </w:r>
      <w:r>
        <w:t xml:space="preserve">, 636–638 (1967).</w:t>
      </w:r>
    </w:p>
    <w:bookmarkEnd w:id="42"/>
    <w:bookmarkStart w:id="43" w:name="Xa3f90ce1142c9909f3dcae33f3bb9e135b49301"/>
    <w:p>
      <w:pPr>
        <w:pStyle w:val="Bibliography"/>
      </w:pPr>
      <w:r>
        <w:t xml:space="preserve">10.</w:t>
      </w:r>
      <w:r>
        <w:t xml:space="preserve"> </w:t>
      </w:r>
      <w:r>
        <w:t xml:space="preserve">	</w:t>
      </w:r>
      <w:r>
        <w:t xml:space="preserve">Rodríguez-Iturbe, I. &amp; Rinaldo, A.</w:t>
      </w:r>
      <w:r>
        <w:t xml:space="preserve"> </w:t>
      </w:r>
      <w:r>
        <w:rPr>
          <w:iCs/>
          <w:i/>
        </w:rPr>
        <w:t xml:space="preserve">Fractal</w:t>
      </w:r>
      <w:r>
        <w:rPr>
          <w:iCs/>
          <w:i/>
        </w:rPr>
        <w:t xml:space="preserve"> </w:t>
      </w:r>
      <w:r>
        <w:rPr>
          <w:iCs/>
          <w:i/>
        </w:rPr>
        <w:t xml:space="preserve">River Basins</w:t>
      </w:r>
      <w:r>
        <w:rPr>
          <w:iCs/>
          <w:i/>
        </w:rPr>
        <w:t xml:space="preserve">:</w:t>
      </w:r>
      <w:r>
        <w:rPr>
          <w:iCs/>
          <w:i/>
        </w:rPr>
        <w:t xml:space="preserve"> </w:t>
      </w:r>
      <w:r>
        <w:rPr>
          <w:iCs/>
          <w:i/>
        </w:rPr>
        <w:t xml:space="preserve">Chance</w:t>
      </w:r>
      <w:r>
        <w:rPr>
          <w:iCs/>
          <w:i/>
        </w:rPr>
        <w:t xml:space="preserve"> </w:t>
      </w:r>
      <w:r>
        <w:rPr>
          <w:iCs/>
          <w:i/>
        </w:rPr>
        <w:t xml:space="preserve">and</w:t>
      </w:r>
      <w:r>
        <w:rPr>
          <w:iCs/>
          <w:i/>
        </w:rPr>
        <w:t xml:space="preserve"> </w:t>
      </w:r>
      <w:r>
        <w:rPr>
          <w:iCs/>
          <w:i/>
        </w:rPr>
        <w:t xml:space="preserve">Self-Organization</w:t>
      </w:r>
      <w:r>
        <w:t xml:space="preserve">. (</w:t>
      </w:r>
      <w:r>
        <w:t xml:space="preserve">Cambridge University Press</w:t>
      </w:r>
      <w:r>
        <w:t xml:space="preserve">, 2001).</w:t>
      </w:r>
    </w:p>
    <w:bookmarkEnd w:id="43"/>
    <w:bookmarkStart w:id="45" w:name="ref-proektScaleInvarianceDynamics2012"/>
    <w:p>
      <w:pPr>
        <w:pStyle w:val="Bibliography"/>
      </w:pPr>
      <w:r>
        <w:t xml:space="preserve">11.</w:t>
      </w:r>
      <w:r>
        <w:t xml:space="preserve"> </w:t>
      </w:r>
      <w:r>
        <w:t xml:space="preserve">	</w:t>
      </w:r>
      <w:r>
        <w:t xml:space="preserve">Proekt, A., Banavar, J. R., Maritan, A. &amp; Pfaff, D. W.</w:t>
      </w:r>
      <w:r>
        <w:t xml:space="preserve"> </w:t>
      </w:r>
      <w:hyperlink r:id="rId44">
        <w:r>
          <w:rPr>
            <w:rStyle w:val="Hyperlink"/>
          </w:rPr>
          <w:t xml:space="preserve">Scale invariance in the dynamics of spontaneous behavior</w:t>
        </w:r>
      </w:hyperlink>
      <w:r>
        <w:t xml:space="preserve">.</w:t>
      </w:r>
      <w:r>
        <w:t xml:space="preserve"> </w:t>
      </w:r>
      <w:r>
        <w:rPr>
          <w:iCs/>
          <w:i/>
        </w:rPr>
        <w:t xml:space="preserve">Proceedings of the National Academy of Sciences</w:t>
      </w:r>
      <w:r>
        <w:t xml:space="preserve"> </w:t>
      </w:r>
      <w:r>
        <w:rPr>
          <w:bCs/>
          <w:b/>
        </w:rPr>
        <w:t xml:space="preserve">109</w:t>
      </w:r>
      <w:r>
        <w:t xml:space="preserve">, 10564–10569 (2012).</w:t>
      </w:r>
    </w:p>
    <w:bookmarkEnd w:id="45"/>
    <w:bookmarkStart w:id="47" w:name="ref-brownFractalNatureNature2002"/>
    <w:p>
      <w:pPr>
        <w:pStyle w:val="Bibliography"/>
      </w:pPr>
      <w:r>
        <w:t xml:space="preserve">12.</w:t>
      </w:r>
      <w:r>
        <w:t xml:space="preserve"> </w:t>
      </w:r>
      <w:r>
        <w:t xml:space="preserve">	</w:t>
      </w:r>
      <w:r>
        <w:t xml:space="preserve">Brown, J. H.</w:t>
      </w:r>
      <w:r>
        <w:t xml:space="preserve"> </w:t>
      </w:r>
      <w:r>
        <w:rPr>
          <w:iCs/>
          <w:i/>
        </w:rPr>
        <w:t xml:space="preserve">et al.</w:t>
      </w:r>
      <w:r>
        <w:t xml:space="preserve"> </w:t>
      </w:r>
      <w:hyperlink r:id="rId46">
        <w:r>
          <w:rPr>
            <w:rStyle w:val="Hyperlink"/>
          </w:rPr>
          <w:t xml:space="preserve">The fractal nature of nature: Power laws, ecological complexity and biodiversity</w:t>
        </w:r>
      </w:hyperlink>
      <w:r>
        <w:t xml:space="preserve">.</w:t>
      </w:r>
      <w:r>
        <w:t xml:space="preserve"> </w:t>
      </w:r>
      <w:r>
        <w:rPr>
          <w:iCs/>
          <w:i/>
        </w:rPr>
        <w:t xml:space="preserve">Philosophical Transactions of the Royal Society of London. Series B: Biological Sciences</w:t>
      </w:r>
      <w:r>
        <w:t xml:space="preserve"> </w:t>
      </w:r>
      <w:r>
        <w:rPr>
          <w:bCs/>
          <w:b/>
        </w:rPr>
        <w:t xml:space="preserve">357</w:t>
      </w:r>
      <w:r>
        <w:t xml:space="preserve">, 619–626 (2002).</w:t>
      </w:r>
    </w:p>
    <w:bookmarkEnd w:id="47"/>
    <w:bookmarkStart w:id="49" w:name="ref-rinaldoEvolutionSelectionRiver2014"/>
    <w:p>
      <w:pPr>
        <w:pStyle w:val="Bibliography"/>
      </w:pPr>
      <w:r>
        <w:t xml:space="preserve">13.</w:t>
      </w:r>
      <w:r>
        <w:t xml:space="preserve"> </w:t>
      </w:r>
      <w:r>
        <w:t xml:space="preserve">	</w:t>
      </w:r>
      <w:r>
        <w:t xml:space="preserve">Rinaldo, A., Rigon, R., Banavar, J. R., Maritan, A. &amp; Rodriguez-Iturbe, I.</w:t>
      </w:r>
      <w:r>
        <w:t xml:space="preserve"> </w:t>
      </w:r>
      <w:hyperlink r:id="rId48">
        <w:r>
          <w:rPr>
            <w:rStyle w:val="Hyperlink"/>
          </w:rPr>
          <w:t xml:space="preserve">Evolution and selection of river networks:</w:t>
        </w:r>
        <w:r>
          <w:rPr>
            <w:rStyle w:val="Hyperlink"/>
          </w:rPr>
          <w:t xml:space="preserve"> </w:t>
        </w:r>
        <w:r>
          <w:rPr>
            <w:rStyle w:val="Hyperlink"/>
          </w:rPr>
          <w:t xml:space="preserve">Statics</w:t>
        </w:r>
        <w:r>
          <w:rPr>
            <w:rStyle w:val="Hyperlink"/>
          </w:rPr>
          <w:t xml:space="preserve">, dynamics, and complexity</w:t>
        </w:r>
      </w:hyperlink>
      <w:r>
        <w:t xml:space="preserve">.</w:t>
      </w:r>
      <w:r>
        <w:t xml:space="preserve"> </w:t>
      </w:r>
      <w:r>
        <w:rPr>
          <w:iCs/>
          <w:i/>
        </w:rPr>
        <w:t xml:space="preserve">Proceedings of the National Academy of Sciences</w:t>
      </w:r>
      <w:r>
        <w:t xml:space="preserve"> </w:t>
      </w:r>
      <w:r>
        <w:rPr>
          <w:bCs/>
          <w:b/>
        </w:rPr>
        <w:t xml:space="preserve">111</w:t>
      </w:r>
      <w:r>
        <w:t xml:space="preserve">, 2417–2424 (2014).</w:t>
      </w:r>
    </w:p>
    <w:bookmarkEnd w:id="49"/>
    <w:bookmarkStart w:id="51" w:name="ref-giomettoScalingBodySize2013"/>
    <w:p>
      <w:pPr>
        <w:pStyle w:val="Bibliography"/>
      </w:pPr>
      <w:r>
        <w:t xml:space="preserve">14.</w:t>
      </w:r>
      <w:r>
        <w:t xml:space="preserve"> </w:t>
      </w:r>
      <w:r>
        <w:t xml:space="preserve">	</w:t>
      </w:r>
      <w:r>
        <w:t xml:space="preserve">Giometto, A., Altermatt, F., Carrara, F., Maritan, A. &amp; Rinaldo, A.</w:t>
      </w:r>
      <w:r>
        <w:t xml:space="preserve"> </w:t>
      </w:r>
      <w:hyperlink r:id="rId50">
        <w:r>
          <w:rPr>
            <w:rStyle w:val="Hyperlink"/>
          </w:rPr>
          <w:t xml:space="preserve">Scaling body size fluctuations</w:t>
        </w:r>
      </w:hyperlink>
      <w:r>
        <w:t xml:space="preserve">.</w:t>
      </w:r>
      <w:r>
        <w:t xml:space="preserve"> </w:t>
      </w:r>
      <w:r>
        <w:rPr>
          <w:iCs/>
          <w:i/>
        </w:rPr>
        <w:t xml:space="preserve">Proceedings of the National Academy of Sciences</w:t>
      </w:r>
      <w:r>
        <w:t xml:space="preserve"> </w:t>
      </w:r>
      <w:r>
        <w:rPr>
          <w:bCs/>
          <w:b/>
        </w:rPr>
        <w:t xml:space="preserve">110</w:t>
      </w:r>
      <w:r>
        <w:t xml:space="preserve">, 4646–4650 (2013).</w:t>
      </w:r>
    </w:p>
    <w:bookmarkEnd w:id="51"/>
    <w:bookmarkStart w:id="53" w:name="ref-yamazakiMERITHydroHighresolution2019"/>
    <w:p>
      <w:pPr>
        <w:pStyle w:val="Bibliography"/>
      </w:pPr>
      <w:r>
        <w:t xml:space="preserve">15.</w:t>
      </w:r>
      <w:r>
        <w:t xml:space="preserve"> </w:t>
      </w:r>
      <w:r>
        <w:t xml:space="preserve">	</w:t>
      </w:r>
      <w:r>
        <w:t xml:space="preserve">Yamazaki, D.</w:t>
      </w:r>
      <w:r>
        <w:t xml:space="preserve"> </w:t>
      </w:r>
      <w:r>
        <w:rPr>
          <w:iCs/>
          <w:i/>
        </w:rPr>
        <w:t xml:space="preserve">et al.</w:t>
      </w:r>
      <w:r>
        <w:t xml:space="preserve"> </w:t>
      </w:r>
      <w:hyperlink r:id="rId52">
        <w:r>
          <w:rPr>
            <w:rStyle w:val="Hyperlink"/>
          </w:rPr>
          <w:t xml:space="preserve">MERIT</w:t>
        </w:r>
        <w:r>
          <w:rPr>
            <w:rStyle w:val="Hyperlink"/>
          </w:rPr>
          <w:t xml:space="preserve"> </w:t>
        </w:r>
        <w:r>
          <w:rPr>
            <w:rStyle w:val="Hyperlink"/>
          </w:rPr>
          <w:t xml:space="preserve">hydro: A high-resolution global hydrography map based on latest topography dataset</w:t>
        </w:r>
      </w:hyperlink>
      <w:r>
        <w:t xml:space="preserve">.</w:t>
      </w:r>
      <w:r>
        <w:t xml:space="preserve"> </w:t>
      </w:r>
      <w:r>
        <w:rPr>
          <w:iCs/>
          <w:i/>
        </w:rPr>
        <w:t xml:space="preserve">Water Resources Research</w:t>
      </w:r>
      <w:r>
        <w:t xml:space="preserve"> </w:t>
      </w:r>
      <w:r>
        <w:rPr>
          <w:bCs/>
          <w:b/>
        </w:rPr>
        <w:t xml:space="preserve">55</w:t>
      </w:r>
      <w:r>
        <w:t xml:space="preserve">, 5053–5073 (2019).</w:t>
      </w:r>
    </w:p>
    <w:bookmarkEnd w:id="53"/>
    <w:bookmarkStart w:id="55" w:name="X92b86f12b09540f71ca734738997c47bdaa256a"/>
    <w:p>
      <w:pPr>
        <w:pStyle w:val="Bibliography"/>
      </w:pPr>
      <w:r>
        <w:t xml:space="preserve">16.</w:t>
      </w:r>
      <w:r>
        <w:t xml:space="preserve"> </w:t>
      </w:r>
      <w:r>
        <w:t xml:space="preserve">	</w:t>
      </w:r>
      <w:r>
        <w:t xml:space="preserve">Wagenmakers, E.-J.</w:t>
      </w:r>
      <w:r>
        <w:t xml:space="preserve"> </w:t>
      </w:r>
      <w:hyperlink r:id="rId54">
        <w:r>
          <w:rPr>
            <w:rStyle w:val="Hyperlink"/>
          </w:rPr>
          <w:t xml:space="preserve">A practical solution to the pervasive problems of p values</w:t>
        </w:r>
      </w:hyperlink>
      <w:r>
        <w:t xml:space="preserve">.</w:t>
      </w:r>
      <w:r>
        <w:t xml:space="preserve"> </w:t>
      </w:r>
      <w:r>
        <w:rPr>
          <w:iCs/>
          <w:i/>
        </w:rPr>
        <w:t xml:space="preserve">Psychonomic Bulletin &amp; Review</w:t>
      </w:r>
      <w:r>
        <w:t xml:space="preserve"> </w:t>
      </w:r>
      <w:r>
        <w:rPr>
          <w:bCs/>
          <w:b/>
        </w:rPr>
        <w:t xml:space="preserve">14</w:t>
      </w:r>
      <w:r>
        <w:t xml:space="preserve">, 779–804 (2007).</w:t>
      </w:r>
    </w:p>
    <w:bookmarkEnd w:id="55"/>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hyperlink" Id="rId39" Target="https://doi.org/10.1002/ece3.6479" TargetMode="External" /><Relationship Type="http://schemas.openxmlformats.org/officeDocument/2006/relationships/hyperlink" Id="rId52" Target="https://doi.org/10.1029/2019wr024873" TargetMode="External" /><Relationship Type="http://schemas.openxmlformats.org/officeDocument/2006/relationships/hyperlink" Id="rId31" Target="https://doi.org/10.1038/s43247-022-00454-1" TargetMode="External" /><Relationship Type="http://schemas.openxmlformats.org/officeDocument/2006/relationships/hyperlink" Id="rId27" Target="https://doi.org/10.1073/pnas.1119651109" TargetMode="External" /><Relationship Type="http://schemas.openxmlformats.org/officeDocument/2006/relationships/hyperlink" Id="rId44" Target="https://doi.org/10.1073/pnas.1206894109" TargetMode="External" /><Relationship Type="http://schemas.openxmlformats.org/officeDocument/2006/relationships/hyperlink" Id="rId50" Target="https://doi.org/10.1073/pnas.1301552110" TargetMode="External" /><Relationship Type="http://schemas.openxmlformats.org/officeDocument/2006/relationships/hyperlink" Id="rId48" Target="https://doi.org/10.1073/pnas.1322700111" TargetMode="External" /><Relationship Type="http://schemas.openxmlformats.org/officeDocument/2006/relationships/hyperlink" Id="rId35" Target="https://doi.org/10.1073/pnas.1800060115" TargetMode="External" /><Relationship Type="http://schemas.openxmlformats.org/officeDocument/2006/relationships/hyperlink" Id="rId37" Target="https://doi.org/10.1073/pnas.2105574118" TargetMode="External" /><Relationship Type="http://schemas.openxmlformats.org/officeDocument/2006/relationships/hyperlink" Id="rId46" Target="https://doi.org/10.1098/rstb.2001.0993" TargetMode="External" /><Relationship Type="http://schemas.openxmlformats.org/officeDocument/2006/relationships/hyperlink" Id="rId33" Target="https://doi.org/10.1111/ele.12228" TargetMode="External" /><Relationship Type="http://schemas.openxmlformats.org/officeDocument/2006/relationships/hyperlink" Id="rId29" Target="https://doi.org/10.1111/ele.12242" TargetMode="External" /><Relationship Type="http://schemas.openxmlformats.org/officeDocument/2006/relationships/hyperlink" Id="rId41" Target="https://doi.org/10.1126/science.156.3775.636" TargetMode="External" /><Relationship Type="http://schemas.openxmlformats.org/officeDocument/2006/relationships/hyperlink" Id="rId54" Target="https://doi.org/10.3758/BF03194105" TargetMode="External" /><Relationship Type="http://schemas.openxmlformats.org/officeDocument/2006/relationships/hyperlink" Id="rId23" Target="https://github.com/aterui/public-proj_fractal-river"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002/ece3.6479" TargetMode="External" /><Relationship Type="http://schemas.openxmlformats.org/officeDocument/2006/relationships/hyperlink" Id="rId52" Target="https://doi.org/10.1029/2019wr024873" TargetMode="External" /><Relationship Type="http://schemas.openxmlformats.org/officeDocument/2006/relationships/hyperlink" Id="rId31" Target="https://doi.org/10.1038/s43247-022-00454-1" TargetMode="External" /><Relationship Type="http://schemas.openxmlformats.org/officeDocument/2006/relationships/hyperlink" Id="rId27" Target="https://doi.org/10.1073/pnas.1119651109" TargetMode="External" /><Relationship Type="http://schemas.openxmlformats.org/officeDocument/2006/relationships/hyperlink" Id="rId44" Target="https://doi.org/10.1073/pnas.1206894109" TargetMode="External" /><Relationship Type="http://schemas.openxmlformats.org/officeDocument/2006/relationships/hyperlink" Id="rId50" Target="https://doi.org/10.1073/pnas.1301552110" TargetMode="External" /><Relationship Type="http://schemas.openxmlformats.org/officeDocument/2006/relationships/hyperlink" Id="rId48" Target="https://doi.org/10.1073/pnas.1322700111" TargetMode="External" /><Relationship Type="http://schemas.openxmlformats.org/officeDocument/2006/relationships/hyperlink" Id="rId35" Target="https://doi.org/10.1073/pnas.1800060115" TargetMode="External" /><Relationship Type="http://schemas.openxmlformats.org/officeDocument/2006/relationships/hyperlink" Id="rId37" Target="https://doi.org/10.1073/pnas.2105574118" TargetMode="External" /><Relationship Type="http://schemas.openxmlformats.org/officeDocument/2006/relationships/hyperlink" Id="rId46" Target="https://doi.org/10.1098/rstb.2001.0993" TargetMode="External" /><Relationship Type="http://schemas.openxmlformats.org/officeDocument/2006/relationships/hyperlink" Id="rId33" Target="https://doi.org/10.1111/ele.12228" TargetMode="External" /><Relationship Type="http://schemas.openxmlformats.org/officeDocument/2006/relationships/hyperlink" Id="rId29" Target="https://doi.org/10.1111/ele.12242" TargetMode="External" /><Relationship Type="http://schemas.openxmlformats.org/officeDocument/2006/relationships/hyperlink" Id="rId41" Target="https://doi.org/10.1126/science.156.3775.636" TargetMode="External" /><Relationship Type="http://schemas.openxmlformats.org/officeDocument/2006/relationships/hyperlink" Id="rId54" Target="https://doi.org/10.3758/BF03194105" TargetMode="External" /><Relationship Type="http://schemas.openxmlformats.org/officeDocument/2006/relationships/hyperlink" Id="rId23" Target="https://github.com/aterui/public-proj_fractal-riv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Mathematical characterization of fractal river networks</dc:title>
  <dc:creator/>
  <cp:keywords/>
  <dcterms:created xsi:type="dcterms:W3CDTF">2022-11-03T06:29:30Z</dcterms:created>
  <dcterms:modified xsi:type="dcterms:W3CDTF">2022-11-03T06:29:30Z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https://www.zotero.org/styles/nature</vt:lpwstr>
  </property>
  <property fmtid="{D5CDD505-2E9C-101B-9397-08002B2CF9AE}" pid="4" name="fontsize">
    <vt:lpwstr>11pt</vt:lpwstr>
  </property>
  <property fmtid="{D5CDD505-2E9C-101B-9397-08002B2CF9AE}" pid="5" name="header-includes">
    <vt:lpwstr/>
  </property>
  <property fmtid="{D5CDD505-2E9C-101B-9397-08002B2CF9AE}" pid="6" name="knit">
    <vt:lpwstr>(function(inputFile, encoding) { rmarkdown::render(inputFile, encoding = encoding, output_dir = “document_output”) })</vt:lpwstr>
  </property>
  <property fmtid="{D5CDD505-2E9C-101B-9397-08002B2CF9AE}" pid="7" name="mainfont">
    <vt:lpwstr>Times New Roman</vt:lpwstr>
  </property>
  <property fmtid="{D5CDD505-2E9C-101B-9397-08002B2CF9AE}" pid="8" name="output">
    <vt:lpwstr>word_document</vt:lpwstr>
  </property>
</Properties>
</file>