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Arial" w:cs="Arial" w:eastAsia="Arial" w:hAnsi="Arial"/>
          <w:b/>
          <w:bCs/>
          <w:color w:val="1B3A5C"/>
          <w:sz w:val="52"/>
          <w:szCs w:val="52"/>
        </w:rPr>
        <w:t xml:space="preserve">ADAPTATION INTELLIGENCE PLATFORM</w:t>
      </w:r>
    </w:p>
    <w:p>
      <w:pPr>
        <w:spacing w:before="0" w:after="80"/>
        <w:jc w:val="center"/>
      </w:pPr>
      <w:r>
        <w:rPr>
          <w:rFonts w:ascii="Arial" w:cs="Arial" w:eastAsia="Arial" w:hAnsi="Arial"/>
          <w:b w:val="false"/>
          <w:bCs w:val="false"/>
          <w:i/>
          <w:iCs/>
          <w:color w:val="2E6DA4"/>
          <w:sz w:val="32"/>
          <w:szCs w:val="32"/>
        </w:rPr>
        <w:t xml:space="preserve">Master Architecture &amp; Implementation Plan</w:t>
      </w:r>
    </w:p>
    <w:p>
      <w:pPr>
        <w:spacing w:before="60" w:after="0"/>
      </w:pPr>
    </w:p>
    <w:p>
      <w:pPr>
        <w:pBdr>
          <w:bottom w:val="single" w:color="0F7B6C" w:sz="8" w:space="1"/>
        </w:pBdr>
        <w:spacing w:before="0" w:after="200"/>
        <w:jc w:val="center"/>
      </w:pPr>
    </w:p>
    <w:p>
      <w:pPr>
        <w:spacing w:before="60" w:after="0"/>
      </w:pPr>
    </w:p>
    <w:p>
      <w:pPr>
        <w:spacing w:before="40" w:after="40"/>
        <w:jc w:val="center"/>
      </w:pPr>
      <w:r>
        <w:rPr>
          <w:rFonts w:ascii="Arial" w:cs="Arial" w:eastAsia="Arial" w:hAnsi="Arial"/>
          <w:color w:val="4A5568"/>
          <w:sz w:val="20"/>
          <w:szCs w:val="20"/>
        </w:rPr>
        <w:t xml:space="preserve">Version 1.0  ·  March 2026  ·  Internal Working Document</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8F7" w:val="clear"/>
            <w:tcMar>
              <w:top w:type="dxa" w:w="200"/>
              <w:left w:type="dxa" w:w="240"/>
              <w:bottom w:type="dxa" w:w="200"/>
              <w:right w:type="dxa" w:w="240"/>
            </w:tcMar>
          </w:tcPr>
          <w:p>
            <w:pPr>
              <w:spacing w:before="0" w:after="80"/>
            </w:pPr>
            <w:r>
              <w:rPr>
                <w:rFonts w:ascii="Arial" w:cs="Arial" w:eastAsia="Arial" w:hAnsi="Arial"/>
                <w:b/>
                <w:bCs/>
                <w:color w:val="1B3A5C"/>
                <w:sz w:val="22"/>
                <w:szCs w:val="22"/>
              </w:rPr>
              <w:t xml:space="preserve">PURPOSE OF THIS DOCUMENT</w:t>
            </w:r>
          </w:p>
          <w:p>
            <w:pPr>
              <w:spacing w:before="0" w:after="60"/>
            </w:pPr>
            <w:r>
              <w:rPr>
                <w:rFonts w:ascii="Arial" w:cs="Arial" w:eastAsia="Arial" w:hAnsi="Arial"/>
                <w:color w:val="1A1A1A"/>
                <w:sz w:val="21"/>
                <w:szCs w:val="21"/>
              </w:rPr>
              <w:t xml:space="preserve">This document is the single source of truth for designing and building the Adaptation Intelligence Platform. It covers architecture decisions, regulatory ontology seeds, taxonomy design, validation workflows, and a phased implementation plan. Code work is delegated to Claude Code; this document governs design intent.</w:t>
            </w:r>
          </w:p>
          <w:p>
            <w:pPr>
              <w:spacing w:before="0" w:after="0"/>
            </w:pPr>
            <w:r>
              <w:rPr>
                <w:rFonts w:ascii="Arial" w:cs="Arial" w:eastAsia="Arial" w:hAnsi="Arial"/>
                <w:b/>
                <w:bCs/>
                <w:color w:val="1B3A5C"/>
                <w:sz w:val="21"/>
                <w:szCs w:val="21"/>
              </w:rPr>
              <w:t xml:space="preserve">Three pillars: (1) Unified Ingestion, (2) Taxonomy-Driven Classification, (3) Output Generation. Azure AI Search throughout.</w:t>
            </w:r>
          </w:p>
        </w:tc>
      </w:tr>
    </w:tbl>
    <w:p>
      <w:pPr>
        <w:spacing w:before="200" w:after="0"/>
      </w:pPr>
    </w:p>
    <w:p>
      <w:r>
        <w:br w:type="page"/>
      </w:r>
    </w:p>
    <w:p>
      <w:pPr>
        <w:pStyle w:val="Heading1"/>
        <w:spacing w:before="360" w:after="160"/>
      </w:pPr>
      <w:r>
        <w:rPr>
          <w:rFonts w:ascii="Arial" w:cs="Arial" w:eastAsia="Arial" w:hAnsi="Arial"/>
          <w:b/>
          <w:bCs/>
          <w:color w:val="1B3A5C"/>
          <w:sz w:val="36"/>
          <w:szCs w:val="36"/>
        </w:rPr>
        <w:t xml:space="preserve">1. Current State vs Target State</w:t>
      </w:r>
    </w:p>
    <w:p>
      <w:pPr>
        <w:pBdr>
          <w:bottom w:val="single" w:color="2E6DA4" w:sz="6"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CURRENT STATE</w:t>
            </w:r>
          </w:p>
        </w:tc>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TARGET STATE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24 fixed Q&amp;A questions → 13 CSV tables</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Collect → Classify approach using a seeded taxonomy YAML</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Search/download tool lives in a separate repo</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Unified ingest.py entry point with adapter pattern</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Limited to corporate PDFs only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Multi-source: GCF, EU Adapt, IPCC, FAO, CDP, academic literature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No output generation</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Newsletter engine + sector brief engine tied to 3 report types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Redundant extraction (same data under multiple Qs)</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Each passage stored once, classified in place, fully deduplicated</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No validation layer — pipeline output goes straight to use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Validation state machine on every passage before any output</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No regulatory alignment</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CSRD/CSDDD/EU Taxonomy seeded vocabulary throughout</w:t>
            </w:r>
          </w:p>
        </w:tc>
      </w:tr>
    </w:tbl>
    <w:p>
      <w:pPr>
        <w:spacing w:before="160" w:after="0"/>
      </w:pPr>
    </w:p>
    <w:p>
      <w:pPr>
        <w:pStyle w:val="Heading2"/>
        <w:spacing w:before="280" w:after="120"/>
      </w:pPr>
      <w:r>
        <w:rPr>
          <w:rFonts w:ascii="Arial" w:cs="Arial" w:eastAsia="Arial" w:hAnsi="Arial"/>
          <w:b/>
          <w:bCs/>
          <w:color w:val="2E6DA4"/>
          <w:sz w:val="28"/>
          <w:szCs w:val="28"/>
        </w:rPr>
        <w:t xml:space="preserve">1.1 The Architectural Shift</w:t>
      </w:r>
    </w:p>
    <w:p>
      <w:pPr>
        <w:spacing w:before="80" w:after="120"/>
      </w:pPr>
      <w:r>
        <w:rPr>
          <w:rFonts w:ascii="Arial" w:cs="Arial" w:eastAsia="Arial" w:hAnsi="Arial"/>
          <w:b w:val="false"/>
          <w:bCs w:val="false"/>
          <w:i w:val="false"/>
          <w:iCs w:val="false"/>
          <w:color w:val="000000"/>
          <w:sz w:val="22"/>
          <w:szCs w:val="22"/>
        </w:rPr>
        <w:t xml:space="preserve">The system evolves from a question-answering extractor into a knowledge intelligence platform. The key conceptual change is separating extraction from classification: Stage A collects every climate-relevant passage from a document without imposing structure; Stage B maps each passage to a taxonomy node that is itself seeded from regulatory and scientific ontologies. This eliminates redundancy and makes the knowledge store queryable by framework, hazard type, value chain position, or regulatory disclosure requirement.</w:t>
      </w:r>
    </w:p>
    <w:p>
      <w:pPr>
        <w:pStyle w:val="Heading1"/>
        <w:spacing w:before="360" w:after="160"/>
      </w:pPr>
      <w:r>
        <w:rPr>
          <w:rFonts w:ascii="Arial" w:cs="Arial" w:eastAsia="Arial" w:hAnsi="Arial"/>
          <w:b/>
          <w:bCs/>
          <w:color w:val="1B3A5C"/>
          <w:sz w:val="36"/>
          <w:szCs w:val="36"/>
        </w:rPr>
        <w:t xml:space="preserve">2. Architecture — Three Pillars</w:t>
      </w:r>
    </w:p>
    <w:p>
      <w:pPr>
        <w:pBdr>
          <w:bottom w:val="single" w:color="2E6DA4" w:sz="6"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PILLAR 1</w:t>
            </w:r>
          </w:p>
        </w:tc>
        <w:tc>
          <w:tcPr>
            <w:tcW w:type="dxa" w:w="3120"/>
            <w:gridSpan w:val="1"/>
            <w:tcBorders>
              <w:top w:val="single" w:color="C5D5E8" w:sz="1"/>
              <w:left w:val="single" w:color="C5D5E8" w:sz="1"/>
              <w:bottom w:val="single" w:color="C5D5E8" w:sz="1"/>
              <w:right w:val="single" w:color="C5D5E8" w:sz="1"/>
            </w:tcBorders>
            <w:shd w:fill="0F7B6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PILLAR 2</w:t>
            </w:r>
          </w:p>
        </w:tc>
        <w:tc>
          <w:tcPr>
            <w:tcW w:type="dxa" w:w="3120"/>
            <w:gridSpan w:val="1"/>
            <w:tcBorders>
              <w:top w:val="single" w:color="C5D5E8" w:sz="1"/>
              <w:left w:val="single" w:color="C5D5E8" w:sz="1"/>
              <w:bottom w:val="single" w:color="C5D5E8" w:sz="1"/>
              <w:right w:val="single" w:color="C5D5E8" w:sz="1"/>
            </w:tcBorders>
            <w:shd w:fill="C47A1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PILLAR 3</w:t>
            </w:r>
          </w:p>
        </w:tc>
      </w:tr>
      <w:tr>
        <w:tc>
          <w:tcPr>
            <w:tcW w:type="dxa" w:w="3120"/>
            <w:gridSpan w:val="1"/>
            <w:tcBorders>
              <w:top w:val="single" w:color="C5D5E8" w:sz="1"/>
              <w:left w:val="single" w:color="C5D5E8" w:sz="1"/>
              <w:bottom w:val="single" w:color="C5D5E8" w:sz="1"/>
              <w:right w:val="single" w:color="C5D5E8" w:sz="1"/>
            </w:tcBorders>
            <w:shd w:fill="D6E8F7"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22"/>
                <w:szCs w:val="22"/>
              </w:rPr>
              <w:t xml:space="preserve">Unified Ingestion Pipeline</w:t>
            </w:r>
          </w:p>
        </w:tc>
        <w:tc>
          <w:tcPr>
            <w:tcW w:type="dxa" w:w="3120"/>
            <w:gridSpan w:val="1"/>
            <w:tcBorders>
              <w:top w:val="single" w:color="C5D5E8" w:sz="1"/>
              <w:left w:val="single" w:color="C5D5E8" w:sz="1"/>
              <w:bottom w:val="single" w:color="C5D5E8" w:sz="1"/>
              <w:right w:val="single" w:color="C5D5E8" w:sz="1"/>
            </w:tcBorders>
            <w:shd w:fill="D4EFEB" w:val="clear"/>
            <w:tcMar>
              <w:top w:type="dxa" w:w="100"/>
              <w:left w:type="dxa" w:w="140"/>
              <w:bottom w:type="dxa" w:w="100"/>
              <w:right w:type="dxa" w:w="140"/>
            </w:tcMar>
            <w:vAlign w:val="center"/>
          </w:tcPr>
          <w:p>
            <w:pPr>
              <w:jc w:val="left"/>
            </w:pPr>
            <w:r>
              <w:rPr>
                <w:rFonts w:ascii="Arial" w:cs="Arial" w:eastAsia="Arial" w:hAnsi="Arial"/>
                <w:b/>
                <w:bCs/>
                <w:i w:val="false"/>
                <w:iCs w:val="false"/>
                <w:color w:val="0F7B6C"/>
                <w:sz w:val="22"/>
                <w:szCs w:val="22"/>
              </w:rPr>
              <w:t xml:space="preserve">Taxonomy-Driven Classification</w:t>
            </w:r>
          </w:p>
        </w:tc>
        <w:tc>
          <w:tcPr>
            <w:tcW w:type="dxa" w:w="3120"/>
            <w:gridSpan w:val="1"/>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vAlign w:val="center"/>
          </w:tcPr>
          <w:p>
            <w:pPr>
              <w:jc w:val="left"/>
            </w:pPr>
            <w:r>
              <w:rPr>
                <w:rFonts w:ascii="Arial" w:cs="Arial" w:eastAsia="Arial" w:hAnsi="Arial"/>
                <w:b/>
                <w:bCs/>
                <w:i w:val="false"/>
                <w:iCs w:val="false"/>
                <w:color w:val="C47A1E"/>
                <w:sz w:val="22"/>
                <w:szCs w:val="22"/>
              </w:rPr>
              <w:t xml:space="preserve">Output Generation</w:t>
            </w:r>
          </w:p>
        </w:tc>
      </w:tr>
      <w:tr>
        <w:tc>
          <w:tcPr>
            <w:tcW w:type="dxa" w:w="312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Single entry point (ingest.py) accepting URL, search query, or local path. Adapter pattern — one class per source type. Common Document schema before indexing.</w:t>
            </w:r>
          </w:p>
        </w:tc>
        <w:tc>
          <w:tcPr>
            <w:tcW w:type="dxa" w:w="312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Two-stage extraction: Stage A collects all climate-relevant passages. Stage B classifies each into the seeded taxonomy. One JSON per document; master knowledge DB across all documents.</w:t>
            </w:r>
          </w:p>
        </w:tc>
        <w:tc>
          <w:tcPr>
            <w:tcW w:type="dxa" w:w="312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Newsletter engine + sector brief engine. Queries the validated knowledge store. Outputs Markdown/HTML. Aligned to the three report types from Methodology v2.</w:t>
            </w:r>
          </w:p>
        </w:tc>
      </w:tr>
      <w:tr>
        <w:tc>
          <w:tcPr>
            <w:tcW w:type="dxa" w:w="312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Files: ingest.py, adapters/, sources.yaml</w:t>
            </w:r>
          </w:p>
        </w:tc>
        <w:tc>
          <w:tcPr>
            <w:tcW w:type="dxa" w:w="312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Files: taxonomy.yaml, extractor.py, knowledge_store.py</w:t>
            </w:r>
          </w:p>
        </w:tc>
        <w:tc>
          <w:tcPr>
            <w:tcW w:type="dxa" w:w="312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Files: outputs/newsletter.py, outputs/sector_brief.py</w:t>
            </w:r>
          </w:p>
        </w:tc>
      </w:tr>
    </w:tbl>
    <w:p>
      <w:pPr>
        <w:spacing w:before="160" w:after="0"/>
      </w:pPr>
    </w:p>
    <w:p>
      <w:r>
        <w:br w:type="page"/>
      </w:r>
    </w:p>
    <w:p>
      <w:pPr>
        <w:pStyle w:val="Heading1"/>
        <w:spacing w:before="360" w:after="160"/>
      </w:pPr>
      <w:r>
        <w:rPr>
          <w:rFonts w:ascii="Arial" w:cs="Arial" w:eastAsia="Arial" w:hAnsi="Arial"/>
          <w:b/>
          <w:bCs/>
          <w:color w:val="1B3A5C"/>
          <w:sz w:val="36"/>
          <w:szCs w:val="36"/>
        </w:rPr>
        <w:t xml:space="preserve">3. Regulatory Ontology Seeds (CSRD / CSDDD / EU Taxonomy)</w:t>
      </w:r>
    </w:p>
    <w:p>
      <w:pPr>
        <w:pBdr>
          <w:bottom w:val="single" w:color="2E6DA4" w:sz="6" w:space="1"/>
        </w:pBdr>
        <w:spacing w:before="120" w:after="120"/>
      </w:pPr>
    </w:p>
    <w:p>
      <w:pPr>
        <w:spacing w:before="80" w:after="120"/>
      </w:pPr>
      <w:r>
        <w:rPr>
          <w:rFonts w:ascii="Arial" w:cs="Arial" w:eastAsia="Arial" w:hAnsi="Arial"/>
          <w:b w:val="false"/>
          <w:bCs w:val="false"/>
          <w:i w:val="false"/>
          <w:iCs w:val="false"/>
          <w:color w:val="000000"/>
          <w:sz w:val="22"/>
          <w:szCs w:val="22"/>
        </w:rPr>
        <w:t xml:space="preserve">Every seed entry in taxonomy.yaml comes from one of the frameworks below. "Seeding" means using the canonical vocabulary of an authoritative external classification as the base layer of our taxonomy — not inventing our own terms. This ensures outputs are interoperable with datasets clients and regulators already use. Data-driven extensions are added later through schema evolution and always carry a seed_mapping back to their nearest seed parent.</w:t>
      </w:r>
    </w:p>
    <w:p>
      <w:pPr>
        <w:pStyle w:val="Heading2"/>
        <w:spacing w:before="280" w:after="120"/>
      </w:pPr>
      <w:r>
        <w:rPr>
          <w:rFonts w:ascii="Arial" w:cs="Arial" w:eastAsia="Arial" w:hAnsi="Arial"/>
          <w:b/>
          <w:bCs/>
          <w:color w:val="2E6DA4"/>
          <w:sz w:val="28"/>
          <w:szCs w:val="28"/>
        </w:rPr>
        <w:t xml:space="preserve">3.1 Seed Ontologies — Full Reference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Framework</w:t>
            </w:r>
          </w:p>
        </w:tc>
        <w:tc>
          <w:tcPr>
            <w:tcW w:type="dxa" w:w="3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What it seeds in our taxonomy</w:t>
            </w:r>
          </w:p>
        </w:tc>
        <w:tc>
          <w:tcPr>
            <w:tcW w:type="dxa" w:w="32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Practical notes</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
(EFRAG/CSRD)</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Hazard taxonomy: exact acute + chronic physical hazard list. IRO structure (Impact, Risk, Opportunity). Nine disclosure requirement areas.</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Most important seed for corporate extraction. Every CSRD-reporting company must use this vocabulary. Use EFRAG's hazard table verbatim.</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E2
(EFRAG/CSRD)</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Pollution-climate interaction. D8 dimension of company assessment rubric.</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Apply only for chemicals, mining, energy, food manufacturing, agriculture sectors. Drives compound_risk classification.</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E3–E4
(EFRAG/CSRD)</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Water/marine resources (E3). Biodiversity and ecosystems (E4).</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E3 feeds water_stress sub-taxonomy. E4 feeds nature_based_solutions. Linked from E1 hazard table.</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EU Taxonomy
Climate Delegated Act</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Adaptation CapEx eligibility. Technical Screening Criteria (TSC). DNSH (Do No Significant Harm) assessment structure. Activity codes.</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Link each adaptation response to Taxonomy eligibility. TSC drives taxonomy_aligned field on passages.</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TCFD
(FSB)</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Governance four-pillar structure. Transition risk sub-types. Scenario analysis vocabulary.</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Legacy seed — most corporate reports pre-2024 use TCFD language. Map TCFD language → ESRS E1 equivalent.</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NGFS Physical
Hazard Taxonomy</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Hazard categories used in financial scenarios: heat_stress_acute, heat_stress_chronic, riverine_flood, etc.</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Used by ECB, PRA, central banks. Financial sector clients will recognise these. Map to ESRS E1 hazard equivalents.</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IPCC AR6 WG2</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Sector taxonomy: water, food &amp; agriculture, terrestrial ecosystems, ocean &amp; coastal, cities &amp; infrastructure, health, poverty &amp; livelihoods.</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Scientific interoperability. Compound event classification (Ch.16). Scenario vocabulary (SSP pathways).</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INFORM / ND-GAIN</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Hazard frequency + exposure indices. Country vulnerability rankings.</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Country-level baseline for geographic scope classification.</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CSDDD
(Chain of Activities)</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value_chain_position taxonomy node: own_operations, upstream (tier_1, tier_2+, raw_material_origin), downstream (distribution, transport, storage).</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Critical for food/beverage/agriculture. Supplier-level risk is now legally required. Drives all supply_chain classifications.</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OECD/UNGP
(Six-step due diligence)</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CSDDD procedural compliance taxonomy: embed_policies, map_identify, prevent_mitigate, track_monitor, communicate_report, remediate.</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Classifies governance passages into CSDDD step. Required for company assessment D dimension.</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CPI Global Landscape
of Climate Finance</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Finance instrument taxonomy: grants, concessional loans, guarantees, equity, blended finance. Provider/recipient classification.</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Feeds Report 3 (Finance Flow Tracker). Most rigorous public methodology — outputs directly comparable to CPI dataset.</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CDP 2024
(ESRS-aligned)</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CDP questionnaire now maps to ESRS E1. CDP disclosure fields = validated extraction targets.</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CDP-disclosing companies provide structured data. Use CDP field IDs as extraction anchors.</w:t>
            </w:r>
          </w:p>
        </w:tc>
      </w:tr>
    </w:tbl>
    <w:p>
      <w:pPr>
        <w:spacing w:before="160" w:after="0"/>
      </w:pPr>
    </w:p>
    <w:p>
      <w:pPr>
        <w:pStyle w:val="Heading2"/>
        <w:spacing w:before="280" w:after="120"/>
      </w:pPr>
      <w:r>
        <w:rPr>
          <w:rFonts w:ascii="Arial" w:cs="Arial" w:eastAsia="Arial" w:hAnsi="Arial"/>
          <w:b/>
          <w:bCs/>
          <w:color w:val="2E6DA4"/>
          <w:sz w:val="28"/>
          <w:szCs w:val="28"/>
        </w:rPr>
        <w:t xml:space="preserve">3.2 The Double Materiality Dimension</w:t>
      </w:r>
    </w:p>
    <w:p>
      <w:pPr>
        <w:spacing w:before="80" w:after="80"/>
      </w:pPr>
      <w:r>
        <w:rPr>
          <w:rFonts w:ascii="Arial" w:cs="Arial" w:eastAsia="Arial" w:hAnsi="Arial"/>
          <w:b w:val="false"/>
          <w:bCs w:val="false"/>
          <w:i w:val="false"/>
          <w:iCs w:val="false"/>
          <w:color w:val="000000"/>
          <w:sz w:val="22"/>
          <w:szCs w:val="22"/>
        </w:rPr>
        <w:t xml:space="preserve">CSRD requires Double Materiality Assessment (DMA) — every material finding must be classifiable as either impact materiality (outside-in: how climate affects the company financially) or impact materiality (inside-out: how the company affects climate and communities). Our taxonomy must carry an iro_type field on every classified passage to support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IRO TYPE</w:t>
            </w:r>
          </w:p>
        </w:tc>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DEFINITION &amp; EXAMPLES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Impact — Actual Negative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Company's confirmed contribution to climate harm: GHG emissions exceeding targets, deforestation in supply chain, water depletion at facility.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Impact — Potential Negative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Company's possible future contribution: planned new facilities in water-stressed areas, supplier contracts with high-deforestation risk.</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Impact — Positive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Company's contribution to adaptation or resilience: regenerative agriculture programmes, mangrove restoration, community early warning systems.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Risk — Physical Acute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Financial risk from acute hazards (ESRS E1 list): flood damage to facilities, wildfire supply chain disruption, hurricane logistics impact.</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Risk — Physical Chronic</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Financial risk from chronic hazards: long-term water stress on ingredient sourcing, heat reducing agricultural yields, sea-level rise threatening coastal assets.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Risk — Transition</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Financial risk from regulatory/market shift: carbon pricing on supply chain, CSRD disclosure compliance cost, stranded asset risk.</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Opportunity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Climate-related upside: market for resilient products, cost savings from energy efficiency, access to green finance, competitive advantage from adaptation leadership.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47A1E" w:sz="1"/>
              <w:left w:val="single" w:color="C47A1E" w:sz="1"/>
              <w:bottom w:val="single" w:color="C47A1E" w:sz="1"/>
              <w:right w:val="single" w:color="C47A1E" w:sz="1"/>
            </w:tcBorders>
            <w:shd w:fill="FDF3E0" w:val="clear"/>
            <w:tcMar>
              <w:top w:type="dxa" w:w="120"/>
              <w:left w:type="dxa" w:w="140"/>
              <w:bottom w:type="dxa" w:w="120"/>
              <w:right w:type="dxa" w:w="140"/>
            </w:tcMar>
          </w:tcPr>
          <w:p>
            <w:pPr>
              <w:jc w:val="center"/>
            </w:pPr>
            <w:r>
              <w:rPr>
                <w:rFonts w:ascii="Arial" w:cs="Arial" w:eastAsia="Arial" w:hAnsi="Arial"/>
                <w:b/>
                <w:bCs/>
                <w:color w:val="C47A1E"/>
                <w:sz w:val="20"/>
                <w:szCs w:val="20"/>
              </w:rPr>
              <w:t xml:space="preserve">⚠️ OMNIBUS NOTE</w:t>
            </w:r>
          </w:p>
        </w:tc>
        <w:tc>
          <w:tcPr>
            <w:tcW w:type="dxa" w:w="7960"/>
            <w:tcBorders>
              <w:top w:val="single" w:color="C47A1E" w:sz="1"/>
              <w:left w:val="single" w:color="C47A1E" w:sz="1"/>
              <w:bottom w:val="single" w:color="C47A1E" w:sz="1"/>
              <w:right w:val="single" w:color="C47A1E" w:sz="1"/>
            </w:tcBorders>
            <w:shd w:fill="FDF3E0" w:val="clear"/>
            <w:tcMar>
              <w:top w:type="dxa" w:w="120"/>
              <w:left w:type="dxa" w:w="200"/>
              <w:bottom w:type="dxa" w:w="120"/>
              <w:right w:type="dxa" w:w="140"/>
            </w:tcMar>
          </w:tcPr>
          <w:p>
            <w:r>
              <w:rPr>
                <w:rFonts w:ascii="Arial" w:cs="Arial" w:eastAsia="Arial" w:hAnsi="Arial"/>
                <w:color w:val="1A1A1A"/>
                <w:sz w:val="20"/>
                <w:szCs w:val="20"/>
              </w:rPr>
              <w:t xml:space="preserve">The EU Omnibus (Feb 2025) is simplifying ESRS data point requirements — revised ESRS expected Q2 2026. Seed from conceptual categories (hazard types, IRO structure, value chain position), NOT from specific ESRS data point reference numbers which will change. The revised Taxonomy Climate Delegated Act applies from January 2026 retroactively.</w:t>
            </w:r>
          </w:p>
        </w:tc>
      </w:tr>
    </w:tbl>
    <w:p>
      <w:r>
        <w:br w:type="page"/>
      </w:r>
    </w:p>
    <w:p>
      <w:pPr>
        <w:pStyle w:val="Heading1"/>
        <w:spacing w:before="360" w:after="160"/>
      </w:pPr>
      <w:r>
        <w:rPr>
          <w:rFonts w:ascii="Arial" w:cs="Arial" w:eastAsia="Arial" w:hAnsi="Arial"/>
          <w:b/>
          <w:bCs/>
          <w:color w:val="1B3A5C"/>
          <w:sz w:val="36"/>
          <w:szCs w:val="36"/>
        </w:rPr>
        <w:t xml:space="preserve">4. Taxonomy Design</w:t>
      </w:r>
    </w:p>
    <w:p>
      <w:pPr>
        <w:pBdr>
          <w:bottom w:val="single" w:color="2E6DA4" w:sz="6" w:space="1"/>
        </w:pBdr>
        <w:spacing w:before="120" w:after="120"/>
      </w:pPr>
    </w:p>
    <w:p>
      <w:pPr>
        <w:spacing w:before="80" w:after="120"/>
      </w:pPr>
      <w:r>
        <w:rPr>
          <w:rFonts w:ascii="Arial" w:cs="Arial" w:eastAsia="Arial" w:hAnsi="Arial"/>
          <w:b w:val="false"/>
          <w:bCs w:val="false"/>
          <w:i w:val="false"/>
          <w:iCs w:val="false"/>
          <w:color w:val="000000"/>
          <w:sz w:val="22"/>
          <w:szCs w:val="22"/>
        </w:rPr>
        <w:t xml:space="preserve">The taxonomy lives in taxonomy.yaml — the single source of truth for classification. It has two layers: (1) Seed layer — entries that come directly from regulatory/scientific frameworks, version-controlled and stable. (2) Extension layer — data-driven additions that have passed the schema evolution process. Both layers exist in the same file; extensions carry a seed_mapping to their nearest seed parent.</w:t>
      </w:r>
    </w:p>
    <w:p>
      <w:pPr>
        <w:pStyle w:val="Heading2"/>
        <w:spacing w:before="280" w:after="120"/>
      </w:pPr>
      <w:r>
        <w:rPr>
          <w:rFonts w:ascii="Arial" w:cs="Arial" w:eastAsia="Arial" w:hAnsi="Arial"/>
          <w:b/>
          <w:bCs/>
          <w:color w:val="2E6DA4"/>
          <w:sz w:val="28"/>
          <w:szCs w:val="28"/>
        </w:rPr>
        <w:t xml:space="preserve">4.1 Top-Level Taxonomy Structure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Top-Level Node</w:t>
            </w:r>
          </w:p>
        </w:tc>
        <w:tc>
          <w:tcPr>
            <w:tcW w:type="dxa" w:w="3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Key Sub-nodes</w:t>
            </w:r>
          </w:p>
        </w:tc>
        <w:tc>
          <w:tcPr>
            <w:tcW w:type="dxa" w:w="316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Primary Seed Source</w:t>
            </w:r>
          </w:p>
        </w:tc>
      </w:tr>
      <w:tr>
        <w:tc>
          <w:tcPr>
            <w:tcW w:type="dxa" w:w="2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hazards</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physical_acute (13 ESRS types), physical_chronic (9 ESRS types)</w:t>
            </w:r>
          </w:p>
        </w:tc>
        <w:tc>
          <w:tcPr>
            <w:tcW w:type="dxa" w:w="3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 AR11 Table + NGFS</w:t>
            </w:r>
          </w:p>
        </w:tc>
      </w:tr>
      <w:tr>
        <w:tc>
          <w:tcPr>
            <w:tcW w:type="dxa" w:w="2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iro_type</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impact (actual_neg, potential_neg, positive), risk (physical_acute, chronic, transition), opportunity</w:t>
            </w:r>
          </w:p>
        </w:tc>
        <w:tc>
          <w:tcPr>
            <w:tcW w:type="dxa" w:w="3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2 IRO Framework</w:t>
            </w:r>
          </w:p>
        </w:tc>
      </w:tr>
      <w:tr>
        <w:tc>
          <w:tcPr>
            <w:tcW w:type="dxa" w:w="2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impacts</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operations, supply_chain, financial (capex/opex/revenue/stranded), regulatory, biodiversity, water, health</w:t>
            </w:r>
          </w:p>
        </w:tc>
        <w:tc>
          <w:tcPr>
            <w:tcW w:type="dxa" w:w="3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E1-E4, TCFD</w:t>
            </w:r>
          </w:p>
        </w:tc>
      </w:tr>
      <w:tr>
        <w:tc>
          <w:tcPr>
            <w:tcW w:type="dxa" w:w="2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responses</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adaptation, mitigation, nature_based, supply_chain_resilience, financial_instruments, taxonomy_aligned_capex</w:t>
            </w:r>
          </w:p>
        </w:tc>
        <w:tc>
          <w:tcPr>
            <w:tcW w:type="dxa" w:w="3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IPCC AR6 + EU Taxonomy TSC</w:t>
            </w:r>
          </w:p>
        </w:tc>
      </w:tr>
      <w:tr>
        <w:tc>
          <w:tcPr>
            <w:tcW w:type="dxa" w:w="2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governance</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board_oversight, risk_management, stakeholder_engagement, targets_kpis, csddd_steps (1-6)</w:t>
            </w:r>
          </w:p>
        </w:tc>
        <w:tc>
          <w:tcPr>
            <w:tcW w:type="dxa" w:w="3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TCFD + OECD/UNGP six-step</w:t>
            </w:r>
          </w:p>
        </w:tc>
      </w:tr>
      <w:tr>
        <w:tc>
          <w:tcPr>
            <w:tcW w:type="dxa" w:w="2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value_chain</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own_operations, upstream (tier_1, tier_2+, raw_material), downstream (distribution, transport, storage)</w:t>
            </w:r>
          </w:p>
        </w:tc>
        <w:tc>
          <w:tcPr>
            <w:tcW w:type="dxa" w:w="3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CSDDD Chain of Activities</w:t>
            </w:r>
          </w:p>
        </w:tc>
      </w:tr>
      <w:tr>
        <w:tc>
          <w:tcPr>
            <w:tcW w:type="dxa" w:w="2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scenarios</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physical (SSP1.2→SSP5.8.5), transition (NZE, SDS, NGFS orderly/disorderly/hot_house)</w:t>
            </w:r>
          </w:p>
        </w:tc>
        <w:tc>
          <w:tcPr>
            <w:tcW w:type="dxa" w:w="3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IPCC AR6 + NGFS</w:t>
            </w:r>
          </w:p>
        </w:tc>
      </w:tr>
      <w:tr>
        <w:tc>
          <w:tcPr>
            <w:tcW w:type="dxa" w:w="2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frameworks</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tcfd, csrd_esrs, eu_taxonomy, cdp, tnfd, sbtn, gri, issb</w:t>
            </w:r>
          </w:p>
        </w:tc>
        <w:tc>
          <w:tcPr>
            <w:tcW w:type="dxa" w:w="3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Framework self-reference</w:t>
            </w:r>
          </w:p>
        </w:tc>
      </w:tr>
      <w:tr>
        <w:tc>
          <w:tcPr>
            <w:tcW w:type="dxa" w:w="2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finance</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instrument_type, provider_type, recipient, adaptation_specificity</w:t>
            </w:r>
          </w:p>
        </w:tc>
        <w:tc>
          <w:tcPr>
            <w:tcW w:type="dxa" w:w="3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CPI Global Landscape</w:t>
            </w:r>
          </w:p>
        </w:tc>
      </w:tr>
      <w:tr>
        <w:tc>
          <w:tcPr>
            <w:tcW w:type="dxa" w:w="2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evidence_quality</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anecdotal, planned, implemented, monitored, satellite_verified, independently_verified, peer_reviewed</w:t>
            </w:r>
          </w:p>
        </w:tc>
        <w:tc>
          <w:tcPr>
            <w:tcW w:type="dxa" w:w="3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GGA + IPCC evidence standards</w:t>
            </w:r>
          </w:p>
        </w:tc>
      </w:tr>
    </w:tbl>
    <w:p>
      <w:pPr>
        <w:spacing w:before="120" w:after="0"/>
      </w:pPr>
    </w:p>
    <w:p>
      <w:pPr>
        <w:pStyle w:val="Heading2"/>
        <w:spacing w:before="280" w:after="120"/>
      </w:pPr>
      <w:r>
        <w:rPr>
          <w:rFonts w:ascii="Arial" w:cs="Arial" w:eastAsia="Arial" w:hAnsi="Arial"/>
          <w:b/>
          <w:bCs/>
          <w:color w:val="2E6DA4"/>
          <w:sz w:val="28"/>
          <w:szCs w:val="28"/>
        </w:rPr>
        <w:t xml:space="preserve">4.2 Passage-Level Fields (Every Classified Passage Carries These)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Field</w:t>
            </w:r>
          </w:p>
        </w:tc>
        <w:tc>
          <w:tcPr>
            <w:tcW w:type="dxa" w:w="32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Type / Values</w:t>
            </w:r>
          </w:p>
        </w:tc>
        <w:tc>
          <w:tcPr>
            <w:tcW w:type="dxa" w:w="3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category</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string (top-level node)</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Primary taxonomy classification</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subcategory</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string (nested node)</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Granular classification</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iro_type</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enum: impact | risk | opportunity</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Double materiality axis — required for CSRD</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value_chain_position</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enum: own_ops | upstream_t1 | upstream_t2 | raw_material | downstream</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CSDDD compliance axis</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entities</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list[str]</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Named companies, facilities, geographies, crops mentioned</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time_horizon</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enum: short (&lt;5yr) | medium (5-10yr) | long (&gt;10yr)</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ESRS-aligned time horizon vocabulary</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geographic_scope</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string (country / region / global)</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Location of risk or action</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sector_relevance</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list[str] (IPCC AR6 WG2 sectors)</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Which sectors this passage applies to</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evidence_quality</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enum: anecdotal → peer_reviewed</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Confidence in the claim being made</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taxonomy_eligible</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bool + EU Taxonomy activity code</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EU Taxonomy alignment flag</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esrs_hazard_ref</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string (ESRS E1 AR11 hazard code)</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Direct link to ESRS disclosure requirement</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seed_category</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bool</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True = from seed ontology; False = data-driven extension</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confidence</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float 0.0–1.0</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LLM classification confidence; drives validation triage</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content_hash</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str (SHA256)</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Deduplication across documents</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source_doc_id</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str</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Link back to source document in index</w:t>
            </w:r>
          </w:p>
        </w:tc>
      </w:tr>
      <w:tr>
        <w:tc>
          <w:tcPr>
            <w:tcW w:type="dxa" w:w="22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page_ref</w:t>
            </w:r>
          </w:p>
        </w:tc>
        <w:tc>
          <w:tcPr>
            <w:tcW w:type="dxa" w:w="32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int / str</w:t>
            </w:r>
          </w:p>
        </w:tc>
        <w:tc>
          <w:tcPr>
            <w:tcW w:type="dxa" w:w="3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Page or section reference for human validation</w:t>
            </w:r>
          </w:p>
        </w:tc>
      </w:tr>
      <w:tr>
        <w:tc>
          <w:tcPr>
            <w:tcW w:type="dxa" w:w="22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validation_status</w:t>
            </w:r>
          </w:p>
        </w:tc>
        <w:tc>
          <w:tcPr>
            <w:tcW w:type="dxa" w:w="32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see Section 6</w:t>
            </w:r>
          </w:p>
        </w:tc>
        <w:tc>
          <w:tcPr>
            <w:tcW w:type="dxa" w:w="3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Determines visibility to output engines</w:t>
            </w:r>
          </w:p>
        </w:tc>
      </w:tr>
    </w:tbl>
    <w:p>
      <w:pPr>
        <w:spacing w:before="120" w:after="0"/>
      </w:pPr>
    </w:p>
    <w:p>
      <w:pPr>
        <w:pStyle w:val="Heading2"/>
        <w:spacing w:before="280" w:after="120"/>
      </w:pPr>
      <w:r>
        <w:rPr>
          <w:rFonts w:ascii="Arial" w:cs="Arial" w:eastAsia="Arial" w:hAnsi="Arial"/>
          <w:b/>
          <w:bCs/>
          <w:color w:val="2E6DA4"/>
          <w:sz w:val="28"/>
          <w:szCs w:val="28"/>
        </w:rPr>
        <w:t xml:space="preserve">4.3 Schema Evolution Process</w:t>
      </w:r>
    </w:p>
    <w:p>
      <w:pPr>
        <w:spacing w:before="80" w:after="80"/>
      </w:pPr>
      <w:r>
        <w:rPr>
          <w:rFonts w:ascii="Arial" w:cs="Arial" w:eastAsia="Arial" w:hAnsi="Arial"/>
          <w:b w:val="false"/>
          <w:bCs w:val="false"/>
          <w:i w:val="false"/>
          <w:iCs w:val="false"/>
          <w:color w:val="000000"/>
          <w:sz w:val="22"/>
          <w:szCs w:val="22"/>
        </w:rPr>
        <w:t xml:space="preserve">The taxonomy is not static. When the classifier produces values that do not map to an existing node, they become candidate extensions. The five-step process from Methodology v2 applies: (1) Emergence detection — any LLM-generated value appearing in &gt;5% of documents across multiple source types is a candidate. (2) Human review — domain expert classifies as map/subcategory/top-level/reject. (3) Definition drafting — name, definition, inclusion criteria, exclusion criteria, examples. (4) Backfill — retrospective reclassification of already-ingested documents. (5) Stability monitoring — quarterly review of usage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DA4" w:sz="1"/>
              <w:left w:val="single" w:color="2E6DA4" w:sz="1"/>
              <w:bottom w:val="single" w:color="2E6DA4" w:sz="1"/>
              <w:right w:val="single" w:color="2E6DA4" w:sz="1"/>
            </w:tcBorders>
            <w:shd w:fill="D6E8F7" w:val="clear"/>
            <w:tcMar>
              <w:top w:type="dxa" w:w="120"/>
              <w:left w:type="dxa" w:w="140"/>
              <w:bottom w:type="dxa" w:w="120"/>
              <w:right w:type="dxa" w:w="140"/>
            </w:tcMar>
          </w:tcPr>
          <w:p>
            <w:pPr>
              <w:jc w:val="center"/>
            </w:pPr>
            <w:r>
              <w:rPr>
                <w:rFonts w:ascii="Arial" w:cs="Arial" w:eastAsia="Arial" w:hAnsi="Arial"/>
                <w:b/>
                <w:bCs/>
                <w:color w:val="2E6DA4"/>
                <w:sz w:val="20"/>
                <w:szCs w:val="20"/>
              </w:rPr>
              <w:t xml:space="preserve">KEY RULE</w:t>
            </w:r>
          </w:p>
        </w:tc>
        <w:tc>
          <w:tcPr>
            <w:tcW w:type="dxa" w:w="7960"/>
            <w:tcBorders>
              <w:top w:val="single" w:color="2E6DA4" w:sz="1"/>
              <w:left w:val="single" w:color="2E6DA4" w:sz="1"/>
              <w:bottom w:val="single" w:color="2E6DA4" w:sz="1"/>
              <w:right w:val="single" w:color="2E6DA4" w:sz="1"/>
            </w:tcBorders>
            <w:shd w:fill="D6E8F7" w:val="clear"/>
            <w:tcMar>
              <w:top w:type="dxa" w:w="120"/>
              <w:left w:type="dxa" w:w="200"/>
              <w:bottom w:type="dxa" w:w="120"/>
              <w:right w:type="dxa" w:w="140"/>
            </w:tcMar>
          </w:tcPr>
          <w:p>
            <w:r>
              <w:rPr>
                <w:rFonts w:ascii="Arial" w:cs="Arial" w:eastAsia="Arial" w:hAnsi="Arial"/>
                <w:color w:val="1A1A1A"/>
                <w:sz w:val="20"/>
                <w:szCs w:val="20"/>
              </w:rPr>
              <w:t xml:space="preserve">Every data-driven extension must carry seed_mapping (nearest seed parent), ipcc_ar6_mapping, ngfs_mapping where applicable, and added (quarter) + frequency + reviewer fields. This preserves interoperability even as the taxonomy grows.</w:t>
            </w:r>
          </w:p>
        </w:tc>
      </w:tr>
    </w:tbl>
    <w:p>
      <w:r>
        <w:br w:type="page"/>
      </w:r>
    </w:p>
    <w:p>
      <w:pPr>
        <w:pStyle w:val="Heading1"/>
        <w:spacing w:before="360" w:after="160"/>
      </w:pPr>
      <w:r>
        <w:rPr>
          <w:rFonts w:ascii="Arial" w:cs="Arial" w:eastAsia="Arial" w:hAnsi="Arial"/>
          <w:b/>
          <w:bCs/>
          <w:color w:val="1B3A5C"/>
          <w:sz w:val="36"/>
          <w:szCs w:val="36"/>
        </w:rPr>
        <w:t xml:space="preserve">5. Knowledge Store Design (Azure AI Search)</w:t>
      </w:r>
    </w:p>
    <w:p>
      <w:pPr>
        <w:pBdr>
          <w:bottom w:val="single" w:color="2E6DA4" w:sz="6" w:space="1"/>
        </w:pBdr>
        <w:spacing w:before="120" w:after="120"/>
      </w:pPr>
    </w:p>
    <w:p>
      <w:pPr>
        <w:spacing w:before="80" w:after="120"/>
      </w:pPr>
      <w:r>
        <w:rPr>
          <w:rFonts w:ascii="Arial" w:cs="Arial" w:eastAsia="Arial" w:hAnsi="Arial"/>
          <w:b w:val="false"/>
          <w:bCs w:val="false"/>
          <w:i w:val="false"/>
          <w:iCs w:val="false"/>
          <w:color w:val="000000"/>
          <w:sz w:val="22"/>
          <w:szCs w:val="22"/>
        </w:rPr>
        <w:t xml:space="preserve">Azure AI Search is the chosen backend throughout — it provides hybrid retrieval (BM25 keyword + dense vector) out of the box, a semantic re-ranker (L2), metadata-filtered retrieval, and native Azure OpenAI integration. The knowledge store is a single index, not multiple databases. Validation state is a filterable field, not a separate index.</w:t>
      </w:r>
    </w:p>
    <w:p>
      <w:pPr>
        <w:pStyle w:val="Heading2"/>
        <w:spacing w:before="280" w:after="120"/>
      </w:pPr>
      <w:r>
        <w:rPr>
          <w:rFonts w:ascii="Arial" w:cs="Arial" w:eastAsia="Arial" w:hAnsi="Arial"/>
          <w:b/>
          <w:bCs/>
          <w:color w:val="2E6DA4"/>
          <w:sz w:val="28"/>
          <w:szCs w:val="28"/>
        </w:rPr>
        <w:t xml:space="preserve">5.1 Index Architecture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INDEX NAME</w:t>
            </w:r>
          </w:p>
        </w:tc>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PURPOSE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adaptation-passages</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Main knowledge store. One document per classified passage. All taxonomy fields filterable and sortable. This is what the output engines query.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adaptation-documents</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Source document registry. One document per ingested source file. Tracks ingestion status, source type, processing timestamps. Referenced by passages via source_doc_id.</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adaptation-validation-log</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Correction loop audit trail. One record per human review action. Stores original extraction, corrected value, reviewer ID, error pattern tag. Feeds prompt improvement cycle.</w:t>
            </w:r>
          </w:p>
        </w:tc>
      </w:tr>
    </w:tbl>
    <w:p>
      <w:pPr>
        <w:spacing w:before="120" w:after="0"/>
      </w:pPr>
    </w:p>
    <w:p>
      <w:pPr>
        <w:pStyle w:val="Heading2"/>
        <w:spacing w:before="280" w:after="120"/>
      </w:pPr>
      <w:r>
        <w:rPr>
          <w:rFonts w:ascii="Arial" w:cs="Arial" w:eastAsia="Arial" w:hAnsi="Arial"/>
          <w:b/>
          <w:bCs/>
          <w:color w:val="2E6DA4"/>
          <w:sz w:val="28"/>
          <w:szCs w:val="28"/>
        </w:rPr>
        <w:t xml:space="preserve">5.2 Retrieval Configuration (High-Priority Items from Methodology v2)</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Config Item</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Setting</w:t>
            </w:r>
          </w:p>
        </w:tc>
        <w:tc>
          <w:tcPr>
            <w:tcW w:type="dxa" w:w="40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Embedding model</w:t>
            </w:r>
          </w:p>
        </w:tc>
        <w:tc>
          <w:tcPr>
            <w:tcW w:type="dxa" w:w="2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text-embedding-3-large (3072 dims)</w:t>
            </w:r>
          </w:p>
        </w:tc>
        <w:tc>
          <w:tcPr>
            <w:tcW w:type="dxa" w:w="40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Significantly outperforms ada-002 on specialised domain text. Use from day one — changing later requires re-embedding entire corpus.</w:t>
            </w:r>
          </w:p>
        </w:tc>
      </w:tr>
      <w:tr>
        <w:tc>
          <w:tcPr>
            <w:tcW w:type="dxa" w:w="24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LLM for synthesis</w:t>
            </w:r>
          </w:p>
        </w:tc>
        <w:tc>
          <w:tcPr>
            <w:tcW w:type="dxa" w:w="2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GPT-4o for output generation; GPT-4o-mini for classification</w:t>
            </w:r>
          </w:p>
        </w:tc>
        <w:tc>
          <w:tcPr>
            <w:tcW w:type="dxa" w:w="40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Cost-quality balance. Mini acceptable for Stage B taxonomy classification; 4o required for newsletter/brief generation.</w:t>
            </w:r>
          </w:p>
        </w:tc>
      </w:tr>
      <w:tr>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Retrieval mode</w:t>
            </w:r>
          </w:p>
        </w:tc>
        <w:tc>
          <w:tcPr>
            <w:tcW w:type="dxa" w:w="2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Hybrid: BM25 + dense vector</w:t>
            </w:r>
          </w:p>
        </w:tc>
        <w:tc>
          <w:tcPr>
            <w:tcW w:type="dxa" w:w="40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Exact term matching (hazard names, framework codes, country names) + semantic similarity. Neither alone is sufficient.</w:t>
            </w:r>
          </w:p>
        </w:tc>
      </w:tr>
      <w:tr>
        <w:tc>
          <w:tcPr>
            <w:tcW w:type="dxa" w:w="24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Re-ranking</w:t>
            </w:r>
          </w:p>
        </w:tc>
        <w:tc>
          <w:tcPr>
            <w:tcW w:type="dxa" w:w="2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Azure AI Search L2 semantic re-ranker</w:t>
            </w:r>
          </w:p>
        </w:tc>
        <w:tc>
          <w:tcPr>
            <w:tcW w:type="dxa" w:w="40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Cross-encoder re-ranking after retrieval. Single highest-impact quality improvement. Reduces hallucination substantially.</w:t>
            </w:r>
          </w:p>
        </w:tc>
      </w:tr>
      <w:tr>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Chunking strategy</w:t>
            </w:r>
          </w:p>
        </w:tc>
        <w:tc>
          <w:tcPr>
            <w:tcW w:type="dxa" w:w="2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Semantic (paragraph/section boundaries)</w:t>
            </w:r>
          </w:p>
        </w:tc>
        <w:tc>
          <w:tcPr>
            <w:tcW w:type="dxa" w:w="40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Not fixed token count. Tables extracted separately as structured JSON chunks — critical for quantitative adaptation evidence.</w:t>
            </w:r>
          </w:p>
        </w:tc>
      </w:tr>
      <w:tr>
        <w:tc>
          <w:tcPr>
            <w:tcW w:type="dxa" w:w="24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Filterable fields</w:t>
            </w:r>
          </w:p>
        </w:tc>
        <w:tc>
          <w:tcPr>
            <w:tcW w:type="dxa" w:w="28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validation_status, category, subcategory, iro_type, value_chain_position, sector_relevance, time_horizon, confidence, review_priority</w:t>
            </w:r>
          </w:p>
        </w:tc>
        <w:tc>
          <w:tcPr>
            <w:tcW w:type="dxa" w:w="40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All output queries filter on validation_status first. All analytical queries filter on taxonomy fields.</w:t>
            </w:r>
          </w:p>
        </w:tc>
      </w:tr>
      <w:tr>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Context window use</w:t>
            </w:r>
          </w:p>
        </w:tc>
        <w:tc>
          <w:tcPr>
            <w:tcW w:type="dxa" w:w="28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128K for synthesis; 8-16K for classification</w:t>
            </w:r>
          </w:p>
        </w:tc>
        <w:tc>
          <w:tcPr>
            <w:tcW w:type="dxa" w:w="40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Keep classification context tight — reduces cost and improves precision. Only top-k re-ranked chunks passed to synthesis.</w:t>
            </w:r>
          </w:p>
        </w:tc>
      </w:tr>
    </w:tbl>
    <w:p>
      <w:pPr>
        <w:spacing w:before="120" w:after="0"/>
      </w:pPr>
    </w:p>
    <w:p>
      <w:pPr>
        <w:pStyle w:val="Heading2"/>
        <w:spacing w:before="280" w:after="120"/>
      </w:pPr>
      <w:r>
        <w:rPr>
          <w:rFonts w:ascii="Arial" w:cs="Arial" w:eastAsia="Arial" w:hAnsi="Arial"/>
          <w:b/>
          <w:bCs/>
          <w:color w:val="2E6DA4"/>
          <w:sz w:val="28"/>
          <w:szCs w:val="28"/>
        </w:rPr>
        <w:t xml:space="preserve">5.3 The knowledge_store.py Interface</w:t>
      </w:r>
    </w:p>
    <w:p>
      <w:pPr>
        <w:spacing w:before="80" w:after="80"/>
      </w:pPr>
      <w:r>
        <w:rPr>
          <w:rFonts w:ascii="Arial" w:cs="Arial" w:eastAsia="Arial" w:hAnsi="Arial"/>
          <w:b w:val="false"/>
          <w:bCs w:val="false"/>
          <w:i w:val="false"/>
          <w:iCs w:val="false"/>
          <w:color w:val="000000"/>
          <w:sz w:val="22"/>
          <w:szCs w:val="22"/>
        </w:rPr>
        <w:t xml:space="preserve">knowledge_store.py is the single abstraction layer between all application code and Azure AI Search. No other file calls the Azure Search SDK directly. This means the backend can be swapped (e.g. for local testing) without touching business logic. Core operations to implement:</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upsert_passage(passage: ClassifiedPassage) → str (id)</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get_passage(id: str) → ClassifiedPassage</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update_validation_status(id: str, status: ValidationStatus, reviewer_id: str, notes: str)</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query_trusted(taxonomy_filter: dict, text_query: str, top_k: int) → list[ClassifiedPassage]</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query_pending_review(priority: ReviewPriority, limit: int) → list[ClassifiedPassage]</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log_correction(original: ClassifiedPassage, corrected: dict, correction_type: str, error_pattern: str)</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deduplicate_by_hash(content_hash: str) → bool (exists)</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get_correction_patterns(date_from: datetime) → dict[str, 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DA4" w:sz="1"/>
              <w:left w:val="single" w:color="2E6DA4" w:sz="1"/>
              <w:bottom w:val="single" w:color="2E6DA4" w:sz="1"/>
              <w:right w:val="single" w:color="2E6DA4" w:sz="1"/>
            </w:tcBorders>
            <w:shd w:fill="D6E8F7" w:val="clear"/>
            <w:tcMar>
              <w:top w:type="dxa" w:w="120"/>
              <w:left w:type="dxa" w:w="140"/>
              <w:bottom w:type="dxa" w:w="120"/>
              <w:right w:type="dxa" w:w="140"/>
            </w:tcMar>
          </w:tcPr>
          <w:p>
            <w:pPr>
              <w:jc w:val="center"/>
            </w:pPr>
            <w:r>
              <w:rPr>
                <w:rFonts w:ascii="Arial" w:cs="Arial" w:eastAsia="Arial" w:hAnsi="Arial"/>
                <w:b/>
                <w:bCs/>
                <w:color w:val="2E6DA4"/>
                <w:sz w:val="20"/>
                <w:szCs w:val="20"/>
              </w:rPr>
              <w:t xml:space="preserve">ABSTRACTION RULE</w:t>
            </w:r>
          </w:p>
        </w:tc>
        <w:tc>
          <w:tcPr>
            <w:tcW w:type="dxa" w:w="7960"/>
            <w:tcBorders>
              <w:top w:val="single" w:color="2E6DA4" w:sz="1"/>
              <w:left w:val="single" w:color="2E6DA4" w:sz="1"/>
              <w:bottom w:val="single" w:color="2E6DA4" w:sz="1"/>
              <w:right w:val="single" w:color="2E6DA4" w:sz="1"/>
            </w:tcBorders>
            <w:shd w:fill="D6E8F7" w:val="clear"/>
            <w:tcMar>
              <w:top w:type="dxa" w:w="120"/>
              <w:left w:type="dxa" w:w="200"/>
              <w:bottom w:type="dxa" w:w="120"/>
              <w:right w:type="dxa" w:w="140"/>
            </w:tcMar>
          </w:tcPr>
          <w:p>
            <w:r>
              <w:rPr>
                <w:rFonts w:ascii="Arial" w:cs="Arial" w:eastAsia="Arial" w:hAnsi="Arial"/>
                <w:color w:val="1A1A1A"/>
                <w:sz w:val="20"/>
                <w:szCs w:val="20"/>
              </w:rPr>
              <w:t xml:space="preserve">All output-generating code (newsletter.py, sector_brief.py) calls query_trusted() which automatically filters to approved/auto_approved/edited statuses. Raw and rejected passages are never visible to outputs — the filter is in the interface, not in the caller.</w:t>
            </w:r>
          </w:p>
        </w:tc>
      </w:tr>
    </w:tbl>
    <w:p>
      <w:r>
        <w:br w:type="page"/>
      </w:r>
    </w:p>
    <w:p>
      <w:pPr>
        <w:pStyle w:val="Heading1"/>
        <w:spacing w:before="360" w:after="160"/>
      </w:pPr>
      <w:r>
        <w:rPr>
          <w:rFonts w:ascii="Arial" w:cs="Arial" w:eastAsia="Arial" w:hAnsi="Arial"/>
          <w:b/>
          <w:bCs/>
          <w:color w:val="1B3A5C"/>
          <w:sz w:val="36"/>
          <w:szCs w:val="36"/>
        </w:rPr>
        <w:t xml:space="preserve">6. Human Validation Workflow</w:t>
      </w:r>
    </w:p>
    <w:p>
      <w:pPr>
        <w:pBdr>
          <w:bottom w:val="single" w:color="2E6DA4" w:sz="6" w:space="1"/>
        </w:pBdr>
        <w:spacing w:before="120" w:after="120"/>
      </w:pPr>
    </w:p>
    <w:p>
      <w:pPr>
        <w:spacing w:before="80" w:after="120"/>
      </w:pPr>
      <w:r>
        <w:rPr>
          <w:rFonts w:ascii="Arial" w:cs="Arial" w:eastAsia="Arial" w:hAnsi="Arial"/>
          <w:b w:val="false"/>
          <w:bCs w:val="false"/>
          <w:i w:val="false"/>
          <w:iCs w:val="false"/>
          <w:color w:val="000000"/>
          <w:sz w:val="22"/>
          <w:szCs w:val="22"/>
        </w:rPr>
        <w:t xml:space="preserve">One index, one validation_status field. Not three separate databases. Every passage lives in the adaptation-passages index from the moment it is created. The validation status determines which passages are visible to output engines. Human review is targeted, not comprehensive — auto-approval handles the majority of passages; human time is focused where it matters most.</w:t>
      </w:r>
    </w:p>
    <w:p>
      <w:pPr>
        <w:pStyle w:val="Heading2"/>
        <w:spacing w:before="280" w:after="120"/>
      </w:pPr>
      <w:r>
        <w:rPr>
          <w:rFonts w:ascii="Arial" w:cs="Arial" w:eastAsia="Arial" w:hAnsi="Arial"/>
          <w:b/>
          <w:bCs/>
          <w:color w:val="2E6DA4"/>
          <w:sz w:val="28"/>
          <w:szCs w:val="28"/>
        </w:rPr>
        <w:t xml:space="preserve">6.1 Validation State Machine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STATUS</w:t>
            </w:r>
          </w:p>
        </w:tc>
        <w:tc>
          <w:tcPr>
            <w:tcW w:type="dxa" w:w="756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MEANING &amp; TRANSITION RULES</w:t>
            </w:r>
          </w:p>
        </w:tc>
      </w:tr>
      <w:tr>
        <w:tc>
          <w:tcPr>
            <w:tcW w:type="dxa" w:w="1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RAW</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Just extracted by classifier. Not yet triaged. Invisible to all outputs. Triage runs immediately after classification to assign next status.</w:t>
            </w:r>
          </w:p>
        </w:tc>
      </w:tr>
      <w:tr>
        <w:tc>
          <w:tcPr>
            <w:tcW w:type="dxa" w:w="1800"/>
            <w:gridSpan w:val="1"/>
            <w:tcBorders>
              <w:top w:val="single" w:color="C5D5E8" w:sz="1"/>
              <w:left w:val="single" w:color="C5D5E8" w:sz="1"/>
              <w:bottom w:val="single" w:color="C5D5E8" w:sz="1"/>
              <w:right w:val="single" w:color="C5D5E8" w:sz="1"/>
            </w:tcBorders>
            <w:shd w:fill="D4EFEB"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AUTO_APPROVED</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Confidence ≥ 0.85 AND seed_category = true AND source_type in [gcf_api, oecd_api, structured_db]. Visible to outputs immediately. 5% sample spot-checked monthly.</w:t>
            </w:r>
          </w:p>
        </w:tc>
      </w:tr>
      <w:tr>
        <w:tc>
          <w:tcPr>
            <w:tcW w:type="dxa" w:w="1800"/>
            <w:gridSpan w:val="1"/>
            <w:tcBorders>
              <w:top w:val="single" w:color="C5D5E8" w:sz="1"/>
              <w:left w:val="single" w:color="C5D5E8" w:sz="1"/>
              <w:bottom w:val="single" w:color="C5D5E8" w:sz="1"/>
              <w:right w:val="single" w:color="C5D5E8" w:sz="1"/>
            </w:tcBorders>
            <w:shd w:fill="FFE0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AUTO_REJECTED</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Confidence &lt; 0.40. Stored for correction loop analysis but excluded from all outputs and review queue. Can be manually escalated.</w:t>
            </w:r>
          </w:p>
        </w:tc>
      </w:tr>
      <w:tr>
        <w:tc>
          <w:tcPr>
            <w:tcW w:type="dxa" w:w="1800"/>
            <w:gridSpan w:val="1"/>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PENDING_REVIEW</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Queued for human review. Has a review_priority (P1–P5). Invisible to outputs. This is the default for 0.40–0.85 confidence passages.</w:t>
            </w:r>
          </w:p>
        </w:tc>
      </w:tr>
      <w:tr>
        <w:tc>
          <w:tcPr>
            <w:tcW w:type="dxa" w:w="1800"/>
            <w:gridSpan w:val="1"/>
            <w:tcBorders>
              <w:top w:val="single" w:color="C5D5E8" w:sz="1"/>
              <w:left w:val="single" w:color="C5D5E8" w:sz="1"/>
              <w:bottom w:val="single" w:color="C5D5E8" w:sz="1"/>
              <w:right w:val="single" w:color="C5D5E8"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IN_REVIEW</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A reviewer has opened this passage. Prevents double-review by concurrent users. Timestamp recorded. Auto-reverts to PENDING after 24h if not completed.</w:t>
            </w:r>
          </w:p>
        </w:tc>
      </w:tr>
      <w:tr>
        <w:tc>
          <w:tcPr>
            <w:tcW w:type="dxa" w:w="1800"/>
            <w:gridSpan w:val="1"/>
            <w:tcBorders>
              <w:top w:val="single" w:color="C5D5E8" w:sz="1"/>
              <w:left w:val="single" w:color="C5D5E8" w:sz="1"/>
              <w:bottom w:val="single" w:color="C5D5E8" w:sz="1"/>
              <w:right w:val="single" w:color="C5D5E8" w:sz="1"/>
            </w:tcBorders>
            <w:shd w:fill="D4EFEB"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APPROVED</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Human confirmed the classification is correct. Visible to outputs.</w:t>
            </w:r>
          </w:p>
        </w:tc>
      </w:tr>
      <w:tr>
        <w:tc>
          <w:tcPr>
            <w:tcW w:type="dxa" w:w="1800"/>
            <w:gridSpan w:val="1"/>
            <w:tcBorders>
              <w:top w:val="single" w:color="C5D5E8" w:sz="1"/>
              <w:left w:val="single" w:color="C5D5E8" w:sz="1"/>
              <w:bottom w:val="single" w:color="C5D5E8" w:sz="1"/>
              <w:right w:val="single" w:color="C5D5E8" w:sz="1"/>
            </w:tcBorders>
            <w:shd w:fill="D6E8F7"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EDITED</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Human corrected one or more fields. Correction logged to validation-log index. Visible to outputs. Correction feeds error pattern analysis.</w:t>
            </w:r>
          </w:p>
        </w:tc>
      </w:tr>
      <w:tr>
        <w:tc>
          <w:tcPr>
            <w:tcW w:type="dxa" w:w="1800"/>
            <w:gridSpan w:val="1"/>
            <w:tcBorders>
              <w:top w:val="single" w:color="C5D5E8" w:sz="1"/>
              <w:left w:val="single" w:color="C5D5E8" w:sz="1"/>
              <w:bottom w:val="single" w:color="C5D5E8" w:sz="1"/>
              <w:right w:val="single" w:color="C5D5E8" w:sz="1"/>
            </w:tcBorders>
            <w:shd w:fill="FFE0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REJECTED</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Human determined extraction is wrong. Excluded from outputs. Logged with rationale. Feeds error pattern analysis and prompt improvement.</w:t>
            </w:r>
          </w:p>
        </w:tc>
      </w:tr>
      <w:tr>
        <w:tc>
          <w:tcPr>
            <w:tcW w:type="dxa" w:w="1800"/>
            <w:gridSpan w:val="1"/>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FLAGGED</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Ambiguous — escalated to senior reviewer. Invisible to outputs until resolved. Priority escalated to P1.</w:t>
            </w:r>
          </w:p>
        </w:tc>
      </w:tr>
      <w:tr>
        <w:tc>
          <w:tcPr>
            <w:tcW w:type="dxa" w:w="1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NEEDS_BACKFILL</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Previously approved but taxonomy has changed (schema evolution). Must be reclassified. Temporarily invisible to outputs during reclassification.</w:t>
            </w:r>
          </w:p>
        </w:tc>
      </w:tr>
    </w:tbl>
    <w:p>
      <w:pPr>
        <w:spacing w:before="120" w:after="0"/>
      </w:pPr>
    </w:p>
    <w:p>
      <w:pPr>
        <w:pStyle w:val="Heading2"/>
        <w:spacing w:before="280" w:after="120"/>
      </w:pPr>
      <w:r>
        <w:rPr>
          <w:rFonts w:ascii="Arial" w:cs="Arial" w:eastAsia="Arial" w:hAnsi="Arial"/>
          <w:b/>
          <w:bCs/>
          <w:color w:val="2E6DA4"/>
          <w:sz w:val="28"/>
          <w:szCs w:val="28"/>
        </w:rPr>
        <w:t xml:space="preserve">6.2 Review Priority Queue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PRIORITY</w:t>
            </w:r>
          </w:p>
        </w:tc>
        <w:tc>
          <w:tcPr>
            <w:tcW w:type="dxa" w:w="756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TRIGGER &amp; TARGET REVIEW TIME</w:t>
            </w:r>
          </w:p>
        </w:tc>
      </w:tr>
      <w:tr>
        <w:tc>
          <w:tcPr>
            <w:tcW w:type="dxa" w:w="1800"/>
            <w:gridSpan w:val="1"/>
            <w:tcBorders>
              <w:top w:val="single" w:color="C5D5E8" w:sz="1"/>
              <w:left w:val="single" w:color="C5D5E8" w:sz="1"/>
              <w:bottom w:val="single" w:color="C5D5E8" w:sz="1"/>
              <w:right w:val="single" w:color="C5D5E8" w:sz="1"/>
            </w:tcBorders>
            <w:shd w:fill="FFE0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P1 — CLIENT</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Will appear in client-facing output (newsletter, sector brief, SPO assessment). Review before any output is generated. Target: same day.</w:t>
            </w:r>
          </w:p>
        </w:tc>
      </w:tr>
      <w:tr>
        <w:tc>
          <w:tcPr>
            <w:tcW w:type="dxa" w:w="1800"/>
            <w:gridSpan w:val="1"/>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P2 — QUANT</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Passage contains a specific number, date, amount, or percentage. High hallucination risk. Target: within 24 hours of ingestion.</w:t>
            </w:r>
          </w:p>
        </w:tc>
      </w:tr>
      <w:tr>
        <w:tc>
          <w:tcPr>
            <w:tcW w:type="dxa" w:w="1800"/>
            <w:gridSpan w:val="1"/>
            <w:tcBorders>
              <w:top w:val="single" w:color="C5D5E8" w:sz="1"/>
              <w:left w:val="single" w:color="C5D5E8" w:sz="1"/>
              <w:bottom w:val="single" w:color="C5D5E8" w:sz="1"/>
              <w:right w:val="single" w:color="C5D5E8"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P3 — NEW CAT</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Classified into a data-driven extension category (seed_category = false). Requires domain expert eye. Target: within the week.</w:t>
            </w:r>
          </w:p>
        </w:tc>
      </w:tr>
      <w:tr>
        <w:tc>
          <w:tcPr>
            <w:tcW w:type="dxa" w:w="1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P4 — STANDARD</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Normal passage, 0.40–0.85 confidence, seed category. Batch review in weekly session. Target: within 2 weeks.</w:t>
            </w:r>
          </w:p>
        </w:tc>
      </w:tr>
      <w:tr>
        <w:tc>
          <w:tcPr>
            <w:tcW w:type="dxa" w:w="1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P5 — HISTORICAL</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Retrospective reclassification (NEEDS_BACKFILL). Lowest urgency — does not affect current outputs. Target: monthly batch.</w:t>
            </w:r>
          </w:p>
        </w:tc>
      </w:tr>
    </w:tbl>
    <w:p>
      <w:pPr>
        <w:spacing w:before="120" w:after="0"/>
      </w:pPr>
    </w:p>
    <w:p>
      <w:pPr>
        <w:pStyle w:val="Heading2"/>
        <w:spacing w:before="280" w:after="120"/>
      </w:pPr>
      <w:r>
        <w:rPr>
          <w:rFonts w:ascii="Arial" w:cs="Arial" w:eastAsia="Arial" w:hAnsi="Arial"/>
          <w:b/>
          <w:bCs/>
          <w:color w:val="2E6DA4"/>
          <w:sz w:val="28"/>
          <w:szCs w:val="28"/>
        </w:rPr>
        <w:t xml:space="preserve">6.3 Auto-Approval Logic</w:t>
      </w:r>
    </w:p>
    <w:p>
      <w:pPr>
        <w:spacing w:before="80" w:after="60"/>
      </w:pPr>
      <w:r>
        <w:rPr>
          <w:rFonts w:ascii="Arial" w:cs="Arial" w:eastAsia="Arial" w:hAnsi="Arial"/>
          <w:b w:val="false"/>
          <w:bCs w:val="false"/>
          <w:i w:val="false"/>
          <w:iCs w:val="false"/>
          <w:color w:val="000000"/>
          <w:sz w:val="22"/>
          <w:szCs w:val="22"/>
        </w:rPr>
        <w:t xml:space="preserve">The following conditions must ALL be true for auto-approval. Any single condition failing sends the passage to PENDING_REVIEW:</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confidence ≥ 0.85 (from Azure L2 re-ranker output)</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seed_category = true (taxonomy node from a named seed ontology, not a data-driven extension)</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source_type in ["gcf_api", "oecd_api", "world_bank_api"] (structured database — not unstructured narrative)</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No qualifying language detected in passage text ("proposed", "subject to funding", "some evidence suggests", "plans to")</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passage does not contain quantitative claims (numbers, percentages, monetary amounts) — those always go to P2 review</w:t>
      </w:r>
    </w:p>
    <w:p>
      <w:pPr>
        <w:spacing w:before="120" w:after="0"/>
      </w:pPr>
    </w:p>
    <w:p>
      <w:pPr>
        <w:pStyle w:val="Heading2"/>
        <w:spacing w:before="280" w:after="120"/>
      </w:pPr>
      <w:r>
        <w:rPr>
          <w:rFonts w:ascii="Arial" w:cs="Arial" w:eastAsia="Arial" w:hAnsi="Arial"/>
          <w:b/>
          <w:bCs/>
          <w:color w:val="2E6DA4"/>
          <w:sz w:val="28"/>
          <w:szCs w:val="28"/>
        </w:rPr>
        <w:t xml:space="preserve">6.4 The Correction Loop</w:t>
      </w:r>
    </w:p>
    <w:p>
      <w:pPr>
        <w:spacing w:before="80" w:after="80"/>
      </w:pPr>
      <w:r>
        <w:rPr>
          <w:rFonts w:ascii="Arial" w:cs="Arial" w:eastAsia="Arial" w:hAnsi="Arial"/>
          <w:b w:val="false"/>
          <w:bCs w:val="false"/>
          <w:i w:val="false"/>
          <w:iCs w:val="false"/>
          <w:color w:val="000000"/>
          <w:sz w:val="22"/>
          <w:szCs w:val="22"/>
        </w:rPr>
        <w:t xml:space="preserve">Every human edit is a signal, not just a correction. The correction loop turns reviewer decisions into systematic pipeline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LOOP STEP</w:t>
            </w:r>
          </w:p>
        </w:tc>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IMPLEMENTATION</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Log every correction</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Write to adaptation-validation-log: original extraction, corrected value, field name, reviewer rationale, document type, error_pattern_tag.</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Weekly error pattern analysis</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Query validation-log GROUP BY error_pattern_tag. Any pattern appearing ≥ 3 times in a week is a prompt problem, not a data problem.</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Prompt versioning</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Maintain versioned Stage B classification prompts in prompts/classify_v{N}.txt. Never modify a prompt without running evaluation against the test set first.</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Few-shot example curation</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After each review session, identify 1–2 corrections suitable as few-shot examples. Add to prompts/examples/{category}/ folder with metadata.</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Reviewer calibration</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Monthly: re-run a fixed set of 20 passages through the review interface for the same reviewer. Track consistency over time. Calibration session if inconsistency &gt; 15%.</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Quality metrics (weekly)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Track: acceptance_rate by source_type and category; edit_rate by field; rejection_rate by confidence_band; time_per_item by reviewer. Dashboard in Streamlit.</w:t>
            </w:r>
          </w:p>
        </w:tc>
      </w:tr>
    </w:tbl>
    <w:p>
      <w:pPr>
        <w:spacing w:before="120" w:after="0"/>
      </w:pPr>
    </w:p>
    <w:p>
      <w:pPr>
        <w:pStyle w:val="Heading2"/>
        <w:spacing w:before="280" w:after="120"/>
      </w:pPr>
      <w:r>
        <w:rPr>
          <w:rFonts w:ascii="Arial" w:cs="Arial" w:eastAsia="Arial" w:hAnsi="Arial"/>
          <w:b/>
          <w:bCs/>
          <w:color w:val="2E6DA4"/>
          <w:sz w:val="28"/>
          <w:szCs w:val="28"/>
        </w:rPr>
        <w:t xml:space="preserve">6.5 Validation Interface — Build Spec</w:t>
      </w:r>
    </w:p>
    <w:p>
      <w:pPr>
        <w:spacing w:before="80" w:after="60"/>
      </w:pPr>
      <w:r>
        <w:rPr>
          <w:rFonts w:ascii="Arial" w:cs="Arial" w:eastAsia="Arial" w:hAnsi="Arial"/>
          <w:b w:val="false"/>
          <w:bCs w:val="false"/>
          <w:i w:val="false"/>
          <w:iCs w:val="false"/>
          <w:color w:val="000000"/>
          <w:sz w:val="22"/>
          <w:szCs w:val="22"/>
        </w:rPr>
        <w:t xml:space="preserve">Build a Streamlit interface (Option C from Methodology v2 §4.5). It is the fastest path and directly connects to Azure AI Search. The interface should present:</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LEFT PANEL: All extracted fields from the passage — category, subcategory, iro_type, value_chain_position, entities, time_horizon, evidence_quality, confidence score displayed prominently.</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RIGHT PANEL: The source quote verbatim, document name, page reference, link to original source document.</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TOP: Review question tailored to priority — P1: "Will appear in client output — is every field correct?"; P2: "Is this quantitative claim directly supported by the source quote?"</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DECISION CONTROLS: Approve | Edit (field-level inline edit) | Reject (with required reason dropdown) | Flag (escalate)</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CONTEXT EXPANDER: Button to load ±500 words of surrounding document context from the source document index.</w:t>
      </w:r>
    </w:p>
    <w:p>
      <w:pPr>
        <w:pStyle w:val="ListParagraph"/>
        <w:numPr>
          <w:ilvl w:val="0"/>
          <w:numId w:val="2"/>
        </w:numPr>
        <w:spacing w:before="40" w:after="40"/>
        <w:ind w:left="720" w:hanging="360"/>
      </w:pPr>
      <w:r>
        <w:rPr>
          <w:rFonts w:ascii="Arial" w:cs="Arial" w:eastAsia="Arial" w:hAnsi="Arial"/>
          <w:b w:val="false"/>
          <w:bCs w:val="false"/>
          <w:color w:val="000000"/>
          <w:sz w:val="21"/>
          <w:szCs w:val="21"/>
        </w:rPr>
        <w:t xml:space="preserve">BATCH INDICATOR: Items remaining in queue by priority; estimated time; reviewer's session acceptance rate.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DA4" w:sz="1"/>
              <w:left w:val="single" w:color="2E6DA4" w:sz="1"/>
              <w:bottom w:val="single" w:color="2E6DA4" w:sz="1"/>
              <w:right w:val="single" w:color="2E6DA4" w:sz="1"/>
            </w:tcBorders>
            <w:shd w:fill="D6E8F7" w:val="clear"/>
            <w:tcMar>
              <w:top w:type="dxa" w:w="120"/>
              <w:left w:type="dxa" w:w="140"/>
              <w:bottom w:type="dxa" w:w="120"/>
              <w:right w:type="dxa" w:w="140"/>
            </w:tcMar>
          </w:tcPr>
          <w:p>
            <w:pPr>
              <w:jc w:val="center"/>
            </w:pPr>
            <w:r>
              <w:rPr>
                <w:rFonts w:ascii="Arial" w:cs="Arial" w:eastAsia="Arial" w:hAnsi="Arial"/>
                <w:b/>
                <w:bCs/>
                <w:color w:val="2E6DA4"/>
                <w:sz w:val="20"/>
                <w:szCs w:val="20"/>
              </w:rPr>
              <w:t xml:space="preserve">FILE</w:t>
            </w:r>
          </w:p>
        </w:tc>
        <w:tc>
          <w:tcPr>
            <w:tcW w:type="dxa" w:w="7960"/>
            <w:tcBorders>
              <w:top w:val="single" w:color="2E6DA4" w:sz="1"/>
              <w:left w:val="single" w:color="2E6DA4" w:sz="1"/>
              <w:bottom w:val="single" w:color="2E6DA4" w:sz="1"/>
              <w:right w:val="single" w:color="2E6DA4" w:sz="1"/>
            </w:tcBorders>
            <w:shd w:fill="D6E8F7" w:val="clear"/>
            <w:tcMar>
              <w:top w:type="dxa" w:w="120"/>
              <w:left w:type="dxa" w:w="200"/>
              <w:bottom w:type="dxa" w:w="120"/>
              <w:right w:type="dxa" w:w="140"/>
            </w:tcMar>
          </w:tcPr>
          <w:p>
            <w:r>
              <w:rPr>
                <w:rFonts w:ascii="Arial" w:cs="Arial" w:eastAsia="Arial" w:hAnsi="Arial"/>
                <w:color w:val="1A1A1A"/>
                <w:sz w:val="20"/>
                <w:szCs w:val="20"/>
              </w:rPr>
              <w:t xml:space="preserve">validation/app.py — Streamlit app. Calls knowledge_store.py interface only. No direct Azure Search SDK calls. Deploy as Azure App Service for cloud production.</w:t>
            </w:r>
          </w:p>
        </w:tc>
      </w:tr>
    </w:tbl>
    <w:p>
      <w:r>
        <w:br w:type="page"/>
      </w:r>
    </w:p>
    <w:p>
      <w:pPr>
        <w:pStyle w:val="Heading1"/>
        <w:spacing w:before="360" w:after="160"/>
      </w:pPr>
      <w:r>
        <w:rPr>
          <w:rFonts w:ascii="Arial" w:cs="Arial" w:eastAsia="Arial" w:hAnsi="Arial"/>
          <w:b/>
          <w:bCs/>
          <w:color w:val="1B3A5C"/>
          <w:sz w:val="36"/>
          <w:szCs w:val="36"/>
        </w:rPr>
        <w:t xml:space="preserve">7. Ingestion Pipeline — Adapters</w:t>
      </w:r>
    </w:p>
    <w:p>
      <w:pPr>
        <w:pBdr>
          <w:bottom w:val="single" w:color="2E6DA4" w:sz="6" w:space="1"/>
        </w:pBdr>
        <w:spacing w:before="120" w:after="120"/>
      </w:pPr>
    </w:p>
    <w:p>
      <w:pPr>
        <w:spacing w:before="80" w:after="120"/>
      </w:pPr>
      <w:r>
        <w:rPr>
          <w:rFonts w:ascii="Arial" w:cs="Arial" w:eastAsia="Arial" w:hAnsi="Arial"/>
          <w:b w:val="false"/>
          <w:bCs w:val="false"/>
          <w:i w:val="false"/>
          <w:iCs w:val="false"/>
          <w:color w:val="000000"/>
          <w:sz w:val="22"/>
          <w:szCs w:val="22"/>
        </w:rPr>
        <w:t xml:space="preserve">The ingestion pipeline has a single entry point (ingest.py) and a library of adapter classes. Each adapter handles one source type: authentication, rate limiting, format conversion, and metadata tagging. All adapters output the same Document schema before anything is indexed. The sources.yaml registry drives scheduling.</w:t>
      </w:r>
    </w:p>
    <w:p>
      <w:pPr>
        <w:pStyle w:val="Heading2"/>
        <w:spacing w:before="280" w:after="120"/>
      </w:pPr>
      <w:r>
        <w:rPr>
          <w:rFonts w:ascii="Arial" w:cs="Arial" w:eastAsia="Arial" w:hAnsi="Arial"/>
          <w:b/>
          <w:bCs/>
          <w:color w:val="2E6DA4"/>
          <w:sz w:val="28"/>
          <w:szCs w:val="28"/>
        </w:rPr>
        <w:t xml:space="preserve">7.1 Adapter Map — Seven Adapters (Not Three)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Adapter File</w:t>
            </w:r>
          </w:p>
        </w:tc>
        <w:tc>
          <w:tcPr>
            <w:tcW w:type="dxa" w:w="416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Source / Layer</w:t>
            </w:r>
          </w:p>
        </w:tc>
        <w:tc>
          <w:tcPr>
            <w:tcW w:type="dxa" w:w="24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Scheduling Cadence</w:t>
            </w:r>
          </w:p>
        </w:tc>
      </w:tr>
      <w:tr>
        <w:tc>
          <w:tcPr>
            <w:tcW w:type="dxa" w:w="28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adapters/corporate_pdf.py</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Corporate sustainability reports, CSRD disclosures. Layer 4. Wraps current PyPDF2 + Azure Search logic.</w:t>
            </w:r>
          </w:p>
        </w:tc>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Annual (report season) + ad hoc ingestion</w:t>
            </w:r>
          </w:p>
        </w:tc>
      </w:tr>
      <w:tr>
        <w:tc>
          <w:tcPr>
            <w:tcW w:type="dxa" w:w="2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adapters/google_cse.py</w:t>
            </w:r>
          </w:p>
        </w:tc>
        <w:tc>
          <w:tcPr>
            <w:tcW w:type="dxa" w:w="4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Google Custom Search Engine. Layer 1a. Merges current Search_and_download_tool. Interface: fetch(query) → List[LocalPath].</w:t>
            </w:r>
          </w:p>
        </w:tc>
        <w:tc>
          <w:tcPr>
            <w:tcW w:type="dxa" w:w="24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Weekly for policy; daily for news triggers</w:t>
            </w:r>
          </w:p>
        </w:tc>
      </w:tr>
      <w:tr>
        <w:tc>
          <w:tcPr>
            <w:tcW w:type="dxa" w:w="28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adapters/exa_search.py</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Exa.ai neural similarity search. Layer 1b. "Find more documents like this NAP." Complement to Google CSE for non-obvious related content.</w:t>
            </w:r>
          </w:p>
        </w:tc>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On-demand (exploratory searches)</w:t>
            </w:r>
          </w:p>
        </w:tc>
      </w:tr>
      <w:tr>
        <w:tc>
          <w:tcPr>
            <w:tcW w:type="dxa" w:w="2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adapters/structured_api.py</w:t>
            </w:r>
          </w:p>
        </w:tc>
        <w:tc>
          <w:tcPr>
            <w:tcW w:type="dxa" w:w="4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GCF Project Browser API, GEF Portal, OECD CRS, World Bank Projects API, UNFCCC NDC Registry. Layer 2. Separate auth per API.</w:t>
            </w:r>
          </w:p>
        </w:tc>
        <w:tc>
          <w:tcPr>
            <w:tcW w:type="dxa" w:w="24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Fortnightly per API</w:t>
            </w:r>
          </w:p>
        </w:tc>
      </w:tr>
      <w:tr>
        <w:tc>
          <w:tcPr>
            <w:tcW w:type="dxa" w:w="28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adapters/academic.py</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Semantic Scholar API + OpenAlex (200M+ papers, free API). Layer 3. Open-access adaptation papers.</w:t>
            </w:r>
          </w:p>
        </w:tc>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Monthly</w:t>
            </w:r>
          </w:p>
        </w:tc>
      </w:tr>
      <w:tr>
        <w:tc>
          <w:tcPr>
            <w:tcW w:type="dxa" w:w="2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adapters/playwright_scraper.py</w:t>
            </w:r>
          </w:p>
        </w:tc>
        <w:tc>
          <w:tcPr>
            <w:tcW w:type="dxa" w:w="4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Targeted site crawls: corporate IR pages, ESMA ESEF, CDP bulk download, GRESB. Layer 4. Respectful rate limiting required.</w:t>
            </w:r>
          </w:p>
        </w:tc>
        <w:tc>
          <w:tcPr>
            <w:tcW w:type="dxa" w:w="24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Quarterly or on-release</w:t>
            </w:r>
          </w:p>
        </w:tc>
      </w:tr>
      <w:tr>
        <w:tc>
          <w:tcPr>
            <w:tcW w:type="dxa" w:w="28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adapters/rss_monitor.py</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RSS + Google News API. Layer 5. Event-based triggers: climate events, regulatory announcements, company actions. Reuters, Carbon Brief, Climate Home News.</w:t>
            </w:r>
          </w:p>
        </w:tc>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Daily</w:t>
            </w:r>
          </w:p>
        </w:tc>
      </w:tr>
    </w:tbl>
    <w:p>
      <w:pPr>
        <w:spacing w:before="120" w:after="0"/>
      </w:pPr>
    </w:p>
    <w:p>
      <w:pPr>
        <w:pStyle w:val="Heading2"/>
        <w:spacing w:before="280" w:after="120"/>
      </w:pPr>
      <w:r>
        <w:rPr>
          <w:rFonts w:ascii="Arial" w:cs="Arial" w:eastAsia="Arial" w:hAnsi="Arial"/>
          <w:b/>
          <w:bCs/>
          <w:color w:val="2E6DA4"/>
          <w:sz w:val="28"/>
          <w:szCs w:val="28"/>
        </w:rPr>
        <w:t xml:space="preserve">7.2 Common Document Schema</w:t>
      </w:r>
    </w:p>
    <w:p>
      <w:pPr>
        <w:spacing w:before="80" w:after="80"/>
      </w:pPr>
      <w:r>
        <w:rPr>
          <w:rFonts w:ascii="Arial" w:cs="Arial" w:eastAsia="Arial" w:hAnsi="Arial"/>
          <w:b w:val="false"/>
          <w:bCs w:val="false"/>
          <w:i w:val="false"/>
          <w:iCs w:val="false"/>
          <w:color w:val="000000"/>
          <w:sz w:val="22"/>
          <w:szCs w:val="22"/>
        </w:rPr>
        <w:t xml:space="preserve">Every adapter outputs this schema before the document enters the index. No adapter writes to Azure AI Search directly — all pass through the Document → normalize → embed → index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FIELD</w:t>
            </w:r>
          </w:p>
        </w:tc>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NOTES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text: 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Cleaned, normalised text of the passage or section</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page: int | 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Page number or section reference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content_hash: 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SHA256 of text — deduplication key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source_url: 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Original URL or file path</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source_type: 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 that produced this document (gcf_api, corporate_pdf, etc.)</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publication_date: datetime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Date of the source document (not ingestion date)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language: 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ISO 639-1 code. Multi-language handling: en, fr, es at minimum.</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sector_relevance: list[str]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IPCC AR6 WG2 sector tags applied at ingestion</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country: list[str]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Countries mentioned — ISO 3166-1 alpha-2</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document_type: str</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corporate_report | policy | academic | project_db | news | regulatory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company_name: str | None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For corporate_pdf adapter only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csrd_wave: int | None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Which CSRD wave the company is in (1, 2, 3) — for prioritisation</w:t>
            </w:r>
          </w:p>
        </w:tc>
      </w:tr>
    </w:tbl>
    <w:p>
      <w:pPr>
        <w:spacing w:before="120" w:after="0"/>
      </w:pPr>
    </w:p>
    <w:p>
      <w:pPr>
        <w:pStyle w:val="Heading2"/>
        <w:spacing w:before="280" w:after="120"/>
      </w:pPr>
      <w:r>
        <w:rPr>
          <w:rFonts w:ascii="Arial" w:cs="Arial" w:eastAsia="Arial" w:hAnsi="Arial"/>
          <w:b/>
          <w:bCs/>
          <w:color w:val="2E6DA4"/>
          <w:sz w:val="28"/>
          <w:szCs w:val="28"/>
        </w:rPr>
        <w:t xml:space="preserve">7.3 sources.yaml Structure</w:t>
      </w:r>
    </w:p>
    <w:p>
      <w:pPr>
        <w:spacing w:before="80" w:after="80"/>
      </w:pPr>
      <w:r>
        <w:rPr>
          <w:rFonts w:ascii="Arial" w:cs="Arial" w:eastAsia="Arial" w:hAnsi="Arial"/>
          <w:b w:val="false"/>
          <w:bCs w:val="false"/>
          <w:i w:val="false"/>
          <w:iCs w:val="false"/>
          <w:color w:val="000000"/>
          <w:sz w:val="22"/>
          <w:szCs w:val="22"/>
        </w:rPr>
        <w:t xml:space="preserve">The sources registry drives the scheduler. Each entry defines what to fetch, how often, and which adapter to use. The google_cse adapter reads query templates from this file — the query vocabulary comes from taxonomy.yaml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DA4" w:sz="1"/>
              <w:left w:val="single" w:color="2E6DA4" w:sz="1"/>
              <w:bottom w:val="single" w:color="2E6DA4" w:sz="1"/>
              <w:right w:val="single" w:color="2E6DA4" w:sz="1"/>
            </w:tcBorders>
            <w:shd w:fill="D6E8F7" w:val="clear"/>
            <w:tcMar>
              <w:top w:type="dxa" w:w="120"/>
              <w:left w:type="dxa" w:w="140"/>
              <w:bottom w:type="dxa" w:w="120"/>
              <w:right w:type="dxa" w:w="140"/>
            </w:tcMar>
          </w:tcPr>
          <w:p>
            <w:pPr>
              <w:jc w:val="center"/>
            </w:pPr>
            <w:r>
              <w:rPr>
                <w:rFonts w:ascii="Arial" w:cs="Arial" w:eastAsia="Arial" w:hAnsi="Arial"/>
                <w:b/>
                <w:bCs/>
                <w:color w:val="2E6DA4"/>
                <w:sz w:val="20"/>
                <w:szCs w:val="20"/>
              </w:rPr>
              <w:t xml:space="preserve">DESIGN RULE</w:t>
            </w:r>
          </w:p>
        </w:tc>
        <w:tc>
          <w:tcPr>
            <w:tcW w:type="dxa" w:w="7960"/>
            <w:tcBorders>
              <w:top w:val="single" w:color="2E6DA4" w:sz="1"/>
              <w:left w:val="single" w:color="2E6DA4" w:sz="1"/>
              <w:bottom w:val="single" w:color="2E6DA4" w:sz="1"/>
              <w:right w:val="single" w:color="2E6DA4" w:sz="1"/>
            </w:tcBorders>
            <w:shd w:fill="D6E8F7" w:val="clear"/>
            <w:tcMar>
              <w:top w:type="dxa" w:w="120"/>
              <w:left w:type="dxa" w:w="200"/>
              <w:bottom w:type="dxa" w:w="120"/>
              <w:right w:type="dxa" w:w="140"/>
            </w:tcMar>
          </w:tcPr>
          <w:p>
            <w:r>
              <w:rPr>
                <w:rFonts w:ascii="Arial" w:cs="Arial" w:eastAsia="Arial" w:hAnsi="Arial"/>
                <w:color w:val="1A1A1A"/>
                <w:sz w:val="20"/>
                <w:szCs w:val="20"/>
              </w:rPr>
              <w:t xml:space="preserve">Adding a new source = adding one entry to sources.yaml + implementing one adapter class. No changes required to ingest.py or knowledge_store.py. The pipeline discovers adapters dynamically from the registry.</w:t>
            </w:r>
          </w:p>
        </w:tc>
      </w:tr>
    </w:tbl>
    <w:p>
      <w:r>
        <w:br w:type="page"/>
      </w:r>
    </w:p>
    <w:p>
      <w:pPr>
        <w:pStyle w:val="Heading1"/>
        <w:spacing w:before="360" w:after="160"/>
      </w:pPr>
      <w:r>
        <w:rPr>
          <w:rFonts w:ascii="Arial" w:cs="Arial" w:eastAsia="Arial" w:hAnsi="Arial"/>
          <w:b/>
          <w:bCs/>
          <w:color w:val="1B3A5C"/>
          <w:sz w:val="36"/>
          <w:szCs w:val="36"/>
        </w:rPr>
        <w:t xml:space="preserve">8. Output Generation</w:t>
      </w:r>
    </w:p>
    <w:p>
      <w:pPr>
        <w:pBdr>
          <w:bottom w:val="single" w:color="2E6DA4" w:sz="6" w:space="1"/>
        </w:pBdr>
        <w:spacing w:before="120" w:after="120"/>
      </w:pPr>
    </w:p>
    <w:p>
      <w:pPr>
        <w:spacing w:before="80" w:after="120"/>
      </w:pPr>
      <w:r>
        <w:rPr>
          <w:rFonts w:ascii="Arial" w:cs="Arial" w:eastAsia="Arial" w:hAnsi="Arial"/>
          <w:b w:val="false"/>
          <w:bCs w:val="false"/>
          <w:i w:val="false"/>
          <w:iCs w:val="false"/>
          <w:color w:val="000000"/>
          <w:sz w:val="22"/>
          <w:szCs w:val="22"/>
        </w:rPr>
        <w:t xml:space="preserve">Three output types, aligned to the three report types from Methodology v2. All output engines query only trusted passages (approved / auto_approved / edited). All synthesis uses GPT-4o with Jinja2 templates for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Output Engine</w:t>
            </w:r>
          </w:p>
        </w:tc>
        <w:tc>
          <w:tcPr>
            <w:tcW w:type="dxa" w:w="336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Maps to Report Type</w:t>
            </w:r>
          </w:p>
        </w:tc>
        <w:tc>
          <w:tcPr>
            <w:tcW w:type="dxa" w:w="3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Key Inputs</w:t>
            </w:r>
          </w:p>
        </w:tc>
      </w:tr>
      <w:tr>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newsletter.py</w:t>
            </w:r>
          </w:p>
        </w:tc>
        <w:tc>
          <w:tcPr>
            <w:tcW w:type="dxa" w:w="33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Report 1: Country &amp; Regional Adaptation Tracker. Also event-based monitoring from rss_monitor.py.</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Taxonomy query + time window + target audience → cluster by topic → LLM synthesis → Markdown/HTML sections.</w:t>
            </w:r>
          </w:p>
        </w:tc>
      </w:tr>
      <w:tr>
        <w:tc>
          <w:tcPr>
            <w:tcW w:type="dxa" w:w="24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sector_brief.py</w:t>
            </w:r>
          </w:p>
        </w:tc>
        <w:tc>
          <w:tcPr>
            <w:tcW w:type="dxa" w:w="33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Report 2: Company Adaptation Assessment (D1–D8 rubric including D8 pollution-climate). Report 3: Finance Flow Tracker.</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Sector tag filter → cross-reference corporate responses vs scientific consensus vs policy guidance → structured brief with citations.</w:t>
            </w:r>
          </w:p>
        </w:tc>
      </w:tr>
      <w:tr>
        <w:tc>
          <w:tcPr>
            <w:tcW w:type="dxa" w:w="24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company_assessment.py</w:t>
            </w:r>
          </w:p>
        </w:tc>
        <w:tc>
          <w:tcPr>
            <w:tcW w:type="dxa" w:w="33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Report 2 specific: individual company scorecard against D1–D8 dimensions.</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Company name filter + ESRS E1 IRO structure → score each dimension 0–3 → generate evidence-cited narrative per dimension.</w:t>
            </w:r>
          </w:p>
        </w:tc>
      </w:tr>
    </w:tbl>
    <w:p>
      <w:pPr>
        <w:spacing w:before="120" w:after="0"/>
      </w:pPr>
    </w:p>
    <w:p>
      <w:pPr>
        <w:pStyle w:val="Heading2"/>
        <w:spacing w:before="280" w:after="120"/>
      </w:pPr>
      <w:r>
        <w:rPr>
          <w:rFonts w:ascii="Arial" w:cs="Arial" w:eastAsia="Arial" w:hAnsi="Arial"/>
          <w:b/>
          <w:bCs/>
          <w:color w:val="2E6DA4"/>
          <w:sz w:val="28"/>
          <w:szCs w:val="28"/>
        </w:rPr>
        <w:t xml:space="preserve">8.1 The D1–D8 Company Assessment Rubric</w:t>
      </w:r>
    </w:p>
    <w:p>
      <w:pPr>
        <w:spacing w:before="80" w:after="80"/>
      </w:pPr>
      <w:r>
        <w:rPr>
          <w:rFonts w:ascii="Arial" w:cs="Arial" w:eastAsia="Arial" w:hAnsi="Arial"/>
          <w:b w:val="false"/>
          <w:bCs w:val="false"/>
          <w:i w:val="false"/>
          <w:iCs w:val="false"/>
          <w:color w:val="000000"/>
          <w:sz w:val="22"/>
          <w:szCs w:val="22"/>
        </w:rPr>
        <w:t xml:space="preserve">The seven (or eight, where D8 is material) dimension rubric from Methodology v2 v2 is the output structure for Report 2. The sector_brief engine extracts passages classified under each dimension and scores against the 0–3 rubric. D8 (Pollution-Climate Interaction) applies only where ESRS E2 is material (chemicals, mining, energy, food manufacturing, agriculture).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Dimension</w:t>
            </w:r>
          </w:p>
        </w:tc>
        <w:tc>
          <w:tcPr>
            <w:tcW w:type="dxa" w:w="416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Taxonomy Nodes Queried</w:t>
            </w:r>
          </w:p>
        </w:tc>
        <w:tc>
          <w:tcPr>
            <w:tcW w:type="dxa" w:w="3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ESRS / Framework Link</w:t>
            </w:r>
          </w:p>
        </w:tc>
      </w:tr>
      <w:tr>
        <w:tc>
          <w:tcPr>
            <w:tcW w:type="dxa" w:w="1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D1: Governance</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governance/board_oversight, governance/risk_management</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 GOV-3, TCFD Governance</w:t>
            </w:r>
          </w:p>
        </w:tc>
      </w:tr>
      <w:tr>
        <w:tc>
          <w:tcPr>
            <w:tcW w:type="dxa" w:w="1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D2: Strategy &amp; Resilience</w:t>
            </w:r>
          </w:p>
        </w:tc>
        <w:tc>
          <w:tcPr>
            <w:tcW w:type="dxa" w:w="4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scenarios/*, responses/adaptation, iro_type/risk</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 SBM-3, TCFD Strategy</w:t>
            </w:r>
          </w:p>
        </w:tc>
      </w:tr>
      <w:tr>
        <w:tc>
          <w:tcPr>
            <w:tcW w:type="dxa" w:w="1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D3: Risk Identification</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hazards/*, impacts/*, iro_type/risk (all types)</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 IRO-1, ESRS 2 DMA</w:t>
            </w:r>
          </w:p>
        </w:tc>
      </w:tr>
      <w:tr>
        <w:tc>
          <w:tcPr>
            <w:tcW w:type="dxa" w:w="1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D4: Adaptation Actions</w:t>
            </w:r>
          </w:p>
        </w:tc>
        <w:tc>
          <w:tcPr>
            <w:tcW w:type="dxa" w:w="4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responses/adaptation, responses/nature_based, responses/supply_chain_resilience</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 E1-2, EU Taxonomy TSC</w:t>
            </w:r>
          </w:p>
        </w:tc>
      </w:tr>
      <w:tr>
        <w:tc>
          <w:tcPr>
            <w:tcW w:type="dxa" w:w="1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D5: Supply Chain</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value_chain/upstream/*, value_chain/downstream/*</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CSDDD chain of activities, ESRS E1 upstream value chain</w:t>
            </w:r>
          </w:p>
        </w:tc>
      </w:tr>
      <w:tr>
        <w:tc>
          <w:tcPr>
            <w:tcW w:type="dxa" w:w="1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D6: Metrics &amp; Targets</w:t>
            </w:r>
          </w:p>
        </w:tc>
        <w:tc>
          <w:tcPr>
            <w:tcW w:type="dxa" w:w="4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governance/targets_kpis, finance/adaptation_specificity</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E1 E1-3, ESRS E1 E1-9</w:t>
            </w:r>
          </w:p>
        </w:tc>
      </w:tr>
      <w:tr>
        <w:tc>
          <w:tcPr>
            <w:tcW w:type="dxa" w:w="1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D7: Stakeholder Engagement</w:t>
            </w:r>
          </w:p>
        </w:tc>
        <w:tc>
          <w:tcPr>
            <w:tcW w:type="dxa" w:w="41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governance/stakeholder_engagement, impacts/positive</w:t>
            </w:r>
          </w:p>
        </w:tc>
        <w:tc>
          <w:tcPr>
            <w:tcW w:type="dxa" w:w="360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S3 Affected Communities, CSDDD step 5</w:t>
            </w:r>
          </w:p>
        </w:tc>
      </w:tr>
      <w:tr>
        <w:tc>
          <w:tcPr>
            <w:tcW w:type="dxa" w:w="1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D8: Pollution-Climate (where material)</w:t>
            </w:r>
          </w:p>
        </w:tc>
        <w:tc>
          <w:tcPr>
            <w:tcW w:type="dxa" w:w="416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esrs_e2/*, compound_risk/*, responses/dnsh_assessment</w:t>
            </w:r>
          </w:p>
        </w:tc>
        <w:tc>
          <w:tcPr>
            <w:tcW w:type="dxa" w:w="36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9"/>
                <w:szCs w:val="19"/>
              </w:rPr>
              <w:t xml:space="preserve">ESRS E2 materiality, EU Taxonomy DNSH</w:t>
            </w:r>
          </w:p>
        </w:tc>
      </w:tr>
    </w:tbl>
    <w:p>
      <w:r>
        <w:br w:type="page"/>
      </w:r>
    </w:p>
    <w:p>
      <w:pPr>
        <w:pStyle w:val="Heading1"/>
        <w:spacing w:before="360" w:after="160"/>
      </w:pPr>
      <w:r>
        <w:rPr>
          <w:rFonts w:ascii="Arial" w:cs="Arial" w:eastAsia="Arial" w:hAnsi="Arial"/>
          <w:b/>
          <w:bCs/>
          <w:color w:val="1B3A5C"/>
          <w:sz w:val="36"/>
          <w:szCs w:val="36"/>
        </w:rPr>
        <w:t xml:space="preserve">9. Implementation Phases</w:t>
      </w:r>
    </w:p>
    <w:p>
      <w:pPr>
        <w:pBdr>
          <w:bottom w:val="single" w:color="2E6DA4" w:sz="6"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9360"/>
            <w:gridSpan w:val="3"/>
            <w:tcBorders>
              <w:top w:val="single" w:color="1B3A5C" w:sz="1"/>
              <w:left w:val="single" w:color="1B3A5C" w:sz="1"/>
              <w:bottom w:val="single" w:color="1B3A5C" w:sz="1"/>
              <w:right w:val="single" w:color="1B3A5C" w:sz="1"/>
            </w:tcBorders>
            <w:shd w:fill="1B3A5C" w:val="clear"/>
            <w:tcMar>
              <w:top w:type="dxa" w:w="120"/>
              <w:left w:type="dxa" w:w="180"/>
              <w:bottom w:type="dxa" w:w="120"/>
              <w:right w:type="dxa" w:w="180"/>
            </w:tcMar>
          </w:tcPr>
          <w:p>
            <w:r>
              <w:rPr>
                <w:rFonts w:ascii="Arial" w:cs="Arial" w:eastAsia="Arial" w:hAnsi="Arial"/>
                <w:b/>
                <w:bCs/>
                <w:color w:val="FFFFFF"/>
                <w:sz w:val="24"/>
                <w:szCs w:val="24"/>
              </w:rPr>
              <w:t xml:space="preserve">PHASE 0  ·  Design &amp; Setup — Before Any Code</w:t>
            </w:r>
          </w:p>
        </w:tc>
      </w:tr>
      <w:tr>
        <w:tc>
          <w:tcPr>
            <w:tcW w:type="dxa" w:w="3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TASKS</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FILES CREATED / MODIFIED</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DECISIONS REQUIRED FIRST</w:t>
            </w:r>
          </w:p>
        </w:tc>
      </w:tr>
      <w:tr>
        <w:tc>
          <w:tcPr>
            <w:tcW w:type="dxa" w:w="3600"/>
            <w:tcBorders>
              <w:top w:val="single" w:color="C5D5E8" w:sz="1"/>
              <w:left w:val="single" w:color="C5D5E8" w:sz="1"/>
              <w:bottom w:val="single" w:color="C5D5E8" w:sz="1"/>
              <w:right w:val="single" w:color="C5D5E8"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9"/>
                <w:szCs w:val="19"/>
              </w:rPr>
              <w:t xml:space="preserve">Finalise taxonomy.yaml — seed layer complete, extensions empty</w:t>
            </w:r>
          </w:p>
          <w:p>
            <w:pPr>
              <w:pStyle w:val="ListParagraph"/>
              <w:numPr>
                <w:ilvl w:val="0"/>
                <w:numId w:val="2"/>
              </w:numPr>
              <w:spacing w:before="40" w:after="40"/>
            </w:pPr>
            <w:r>
              <w:rPr>
                <w:rFonts w:ascii="Arial" w:cs="Arial" w:eastAsia="Arial" w:hAnsi="Arial"/>
                <w:sz w:val="19"/>
                <w:szCs w:val="19"/>
              </w:rPr>
              <w:t xml:space="preserve">Define Document common schema — all fields agreed</w:t>
            </w:r>
          </w:p>
          <w:p>
            <w:pPr>
              <w:pStyle w:val="ListParagraph"/>
              <w:numPr>
                <w:ilvl w:val="0"/>
                <w:numId w:val="2"/>
              </w:numPr>
              <w:spacing w:before="40" w:after="40"/>
            </w:pPr>
            <w:r>
              <w:rPr>
                <w:rFonts w:ascii="Arial" w:cs="Arial" w:eastAsia="Arial" w:hAnsi="Arial"/>
                <w:sz w:val="19"/>
                <w:szCs w:val="19"/>
              </w:rPr>
              <w:t xml:space="preserve">Agree validation state machine — statuses, transitions, triage logic</w:t>
            </w:r>
          </w:p>
          <w:p>
            <w:pPr>
              <w:pStyle w:val="ListParagraph"/>
              <w:numPr>
                <w:ilvl w:val="0"/>
                <w:numId w:val="2"/>
              </w:numPr>
              <w:spacing w:before="40" w:after="40"/>
            </w:pPr>
            <w:r>
              <w:rPr>
                <w:rFonts w:ascii="Arial" w:cs="Arial" w:eastAsia="Arial" w:hAnsi="Arial"/>
                <w:sz w:val="19"/>
                <w:szCs w:val="19"/>
              </w:rPr>
              <w:t xml:space="preserve">Map 3 output types to 3 report types from Methodology v2</w:t>
            </w:r>
          </w:p>
          <w:p>
            <w:pPr>
              <w:pStyle w:val="ListParagraph"/>
              <w:numPr>
                <w:ilvl w:val="0"/>
                <w:numId w:val="2"/>
              </w:numPr>
              <w:spacing w:before="40" w:after="40"/>
            </w:pPr>
            <w:r>
              <w:rPr>
                <w:rFonts w:ascii="Arial" w:cs="Arial" w:eastAsia="Arial" w:hAnsi="Arial"/>
                <w:sz w:val="19"/>
                <w:szCs w:val="19"/>
              </w:rPr>
              <w:t xml:space="preserve">Inspect Search_and_download_tool code — document its interface</w:t>
            </w:r>
          </w:p>
          <w:p>
            <w:pPr>
              <w:pStyle w:val="ListParagraph"/>
              <w:numPr>
                <w:ilvl w:val="0"/>
                <w:numId w:val="2"/>
              </w:numPr>
              <w:spacing w:before="40" w:after="40"/>
            </w:pPr>
            <w:r>
              <w:rPr>
                <w:rFonts w:ascii="Arial" w:cs="Arial" w:eastAsia="Arial" w:hAnsi="Arial"/>
                <w:sz w:val="19"/>
                <w:szCs w:val="19"/>
              </w:rPr>
              <w:t xml:space="preserve">Set up Azure AI Search indexes (3 indexes, see §5.1)</w:t>
            </w:r>
          </w:p>
          <w:p>
            <w:pPr>
              <w:pStyle w:val="ListParagraph"/>
              <w:numPr>
                <w:ilvl w:val="0"/>
                <w:numId w:val="2"/>
              </w:numPr>
              <w:spacing w:before="40" w:after="40"/>
            </w:pPr>
            <w:r>
              <w:rPr>
                <w:rFonts w:ascii="Arial" w:cs="Arial" w:eastAsia="Arial" w:hAnsi="Arial"/>
                <w:sz w:val="19"/>
                <w:szCs w:val="19"/>
              </w:rPr>
              <w:t xml:space="preserve">Configure text-embedding-3-large deployment in Azure OpenAI</w:t>
            </w:r>
          </w:p>
          <w:p>
            <w:pPr>
              <w:pStyle w:val="ListParagraph"/>
              <w:numPr>
                <w:ilvl w:val="0"/>
                <w:numId w:val="2"/>
              </w:numPr>
              <w:spacing w:before="40" w:after="40"/>
            </w:pPr>
            <w:r>
              <w:rPr>
                <w:rFonts w:ascii="Arial" w:cs="Arial" w:eastAsia="Arial" w:hAnsi="Arial"/>
                <w:sz w:val="19"/>
                <w:szCs w:val="19"/>
              </w:rPr>
              <w:t xml:space="preserve">Set up Azure L2 semantic re-ranker</w:t>
            </w:r>
          </w:p>
          <w:p>
            <w:pPr>
              <w:pStyle w:val="ListParagraph"/>
              <w:numPr>
                <w:ilvl w:val="0"/>
                <w:numId w:val="2"/>
              </w:numPr>
              <w:spacing w:before="40" w:after="40"/>
            </w:pPr>
            <w:r>
              <w:rPr>
                <w:rFonts w:ascii="Arial" w:cs="Arial" w:eastAsia="Arial" w:hAnsi="Arial"/>
                <w:sz w:val="19"/>
                <w:szCs w:val="19"/>
              </w:rPr>
              <w:t xml:space="preserve">Write evaluation test set: 20 known-answer Q&amp;A pairs per document type</w:t>
            </w:r>
          </w:p>
        </w:tc>
        <w:tc>
          <w:tcPr>
            <w:tcW w:type="dxa" w:w="2880"/>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i/>
                <w:iCs/>
                <w:sz w:val="18"/>
                <w:szCs w:val="18"/>
              </w:rPr>
              <w:t xml:space="preserve">taxonomy.yaml (DONE — see Section 10)</w:t>
            </w:r>
          </w:p>
          <w:p>
            <w:pPr>
              <w:pStyle w:val="ListParagraph"/>
              <w:numPr>
                <w:ilvl w:val="0"/>
                <w:numId w:val="2"/>
              </w:numPr>
              <w:spacing w:before="40" w:after="40"/>
            </w:pPr>
            <w:r>
              <w:rPr>
                <w:rFonts w:ascii="Arial" w:cs="Arial" w:eastAsia="Arial" w:hAnsi="Arial"/>
                <w:i/>
                <w:iCs/>
                <w:sz w:val="18"/>
                <w:szCs w:val="18"/>
              </w:rPr>
              <w:t xml:space="preserve">schemas/document.py (dataclass)</w:t>
            </w:r>
          </w:p>
          <w:p>
            <w:pPr>
              <w:pStyle w:val="ListParagraph"/>
              <w:numPr>
                <w:ilvl w:val="0"/>
                <w:numId w:val="2"/>
              </w:numPr>
              <w:spacing w:before="40" w:after="40"/>
            </w:pPr>
            <w:r>
              <w:rPr>
                <w:rFonts w:ascii="Arial" w:cs="Arial" w:eastAsia="Arial" w:hAnsi="Arial"/>
                <w:i/>
                <w:iCs/>
                <w:sz w:val="18"/>
                <w:szCs w:val="18"/>
              </w:rPr>
              <w:t xml:space="preserve">schemas/passage.py (dataclass)</w:t>
            </w:r>
          </w:p>
          <w:p>
            <w:pPr>
              <w:pStyle w:val="ListParagraph"/>
              <w:numPr>
                <w:ilvl w:val="0"/>
                <w:numId w:val="2"/>
              </w:numPr>
              <w:spacing w:before="40" w:after="40"/>
            </w:pPr>
            <w:r>
              <w:rPr>
                <w:rFonts w:ascii="Arial" w:cs="Arial" w:eastAsia="Arial" w:hAnsi="Arial"/>
                <w:i/>
                <w:iCs/>
                <w:sz w:val="18"/>
                <w:szCs w:val="18"/>
              </w:rPr>
              <w:t xml:space="preserve">schemas/validation.py (enums)</w:t>
            </w:r>
          </w:p>
          <w:p>
            <w:pPr>
              <w:pStyle w:val="ListParagraph"/>
              <w:numPr>
                <w:ilvl w:val="0"/>
                <w:numId w:val="2"/>
              </w:numPr>
              <w:spacing w:before="40" w:after="40"/>
            </w:pPr>
            <w:r>
              <w:rPr>
                <w:rFonts w:ascii="Arial" w:cs="Arial" w:eastAsia="Arial" w:hAnsi="Arial"/>
                <w:i/>
                <w:iCs/>
                <w:sz w:val="18"/>
                <w:szCs w:val="18"/>
              </w:rPr>
              <w:t xml:space="preserve">eval/test_set.json</w:t>
            </w:r>
          </w:p>
          <w:p>
            <w:pPr>
              <w:pStyle w:val="ListParagraph"/>
              <w:numPr>
                <w:ilvl w:val="0"/>
                <w:numId w:val="2"/>
              </w:numPr>
              <w:spacing w:before="40" w:after="40"/>
            </w:pPr>
            <w:r>
              <w:rPr>
                <w:rFonts w:ascii="Arial" w:cs="Arial" w:eastAsia="Arial" w:hAnsi="Arial"/>
                <w:i/>
                <w:iCs/>
                <w:sz w:val="18"/>
                <w:szCs w:val="18"/>
              </w:rPr>
              <w:t xml:space="preserve">Azure AI Search index definitions (JSON config)</w:t>
            </w:r>
          </w:p>
        </w:tc>
        <w:tc>
          <w:tcPr>
            <w:tcW w:type="dxa" w:w="2880"/>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Taxonomy confirmed as complete enough to begin Phase 1?</w:t>
            </w:r>
          </w:p>
          <w:p>
            <w:pPr>
              <w:pStyle w:val="ListParagraph"/>
              <w:numPr>
                <w:ilvl w:val="0"/>
                <w:numId w:val="2"/>
              </w:numPr>
              <w:spacing w:before="40" w:after="40"/>
            </w:pPr>
            <w:r>
              <w:rPr>
                <w:rFonts w:ascii="Arial" w:cs="Arial" w:eastAsia="Arial" w:hAnsi="Arial"/>
                <w:sz w:val="18"/>
                <w:szCs w:val="18"/>
              </w:rPr>
              <w:t xml:space="preserve">Evaluation test set scope — which document types covered first?</w:t>
            </w:r>
          </w:p>
          <w:p>
            <w:pPr>
              <w:pStyle w:val="ListParagraph"/>
              <w:numPr>
                <w:ilvl w:val="0"/>
                <w:numId w:val="2"/>
              </w:numPr>
              <w:spacing w:before="40" w:after="40"/>
            </w:pPr>
            <w:r>
              <w:rPr>
                <w:rFonts w:ascii="Arial" w:cs="Arial" w:eastAsia="Arial" w:hAnsi="Arial"/>
                <w:sz w:val="18"/>
                <w:szCs w:val="18"/>
              </w:rPr>
              <w:t xml:space="preserve">Azure subscription and resource group confirmed</w:t>
            </w:r>
          </w:p>
          <w:p>
            <w:pPr>
              <w:pStyle w:val="ListParagraph"/>
              <w:numPr>
                <w:ilvl w:val="0"/>
                <w:numId w:val="2"/>
              </w:numPr>
              <w:spacing w:before="40" w:after="40"/>
            </w:pPr>
            <w:r>
              <w:rPr>
                <w:rFonts w:ascii="Arial" w:cs="Arial" w:eastAsia="Arial" w:hAnsi="Arial"/>
                <w:sz w:val="18"/>
                <w:szCs w:val="18"/>
              </w:rPr>
              <w:t xml:space="preserve">GPT-4o and embedding model deployments confirmed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9360"/>
            <w:gridSpan w:val="3"/>
            <w:tcBorders>
              <w:top w:val="single" w:color="1B3A5C" w:sz="1"/>
              <w:left w:val="single" w:color="1B3A5C" w:sz="1"/>
              <w:bottom w:val="single" w:color="1B3A5C" w:sz="1"/>
              <w:right w:val="single" w:color="1B3A5C" w:sz="1"/>
            </w:tcBorders>
            <w:shd w:fill="0F7B6C" w:val="clear"/>
            <w:tcMar>
              <w:top w:type="dxa" w:w="120"/>
              <w:left w:type="dxa" w:w="180"/>
              <w:bottom w:type="dxa" w:w="120"/>
              <w:right w:type="dxa" w:w="180"/>
            </w:tcMar>
          </w:tcPr>
          <w:p>
            <w:r>
              <w:rPr>
                <w:rFonts w:ascii="Arial" w:cs="Arial" w:eastAsia="Arial" w:hAnsi="Arial"/>
                <w:b/>
                <w:bCs/>
                <w:color w:val="FFFFFF"/>
                <w:sz w:val="24"/>
                <w:szCs w:val="24"/>
              </w:rPr>
              <w:t xml:space="preserve">PHASE 1  ·  Taxonomy + Reclassify Existing Data</w:t>
            </w:r>
          </w:p>
        </w:tc>
      </w:tr>
      <w:tr>
        <w:tc>
          <w:tcPr>
            <w:tcW w:type="dxa" w:w="3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TASKS</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FILES CREATED / MODIFIED</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DECISIONS REQUIRED FIRST</w:t>
            </w:r>
          </w:p>
        </w:tc>
      </w:tr>
      <w:tr>
        <w:tc>
          <w:tcPr>
            <w:tcW w:type="dxa" w:w="3600"/>
            <w:tcBorders>
              <w:top w:val="single" w:color="C5D5E8" w:sz="1"/>
              <w:left w:val="single" w:color="C5D5E8" w:sz="1"/>
              <w:bottom w:val="single" w:color="C5D5E8" w:sz="1"/>
              <w:right w:val="single" w:color="C5D5E8"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9"/>
                <w:szCs w:val="19"/>
              </w:rPr>
              <w:t xml:space="preserve">Replace extractor.py Q&amp;A logic with Stage A collect prompt</w:t>
            </w:r>
          </w:p>
          <w:p>
            <w:pPr>
              <w:pStyle w:val="ListParagraph"/>
              <w:numPr>
                <w:ilvl w:val="0"/>
                <w:numId w:val="2"/>
              </w:numPr>
              <w:spacing w:before="40" w:after="40"/>
            </w:pPr>
            <w:r>
              <w:rPr>
                <w:rFonts w:ascii="Arial" w:cs="Arial" w:eastAsia="Arial" w:hAnsi="Arial"/>
                <w:sz w:val="19"/>
                <w:szCs w:val="19"/>
              </w:rPr>
              <w:t xml:space="preserve">Build Stage B classify prompt (with seed taxonomy as context)</w:t>
            </w:r>
          </w:p>
          <w:p>
            <w:pPr>
              <w:pStyle w:val="ListParagraph"/>
              <w:numPr>
                <w:ilvl w:val="0"/>
                <w:numId w:val="2"/>
              </w:numPr>
              <w:spacing w:before="40" w:after="40"/>
            </w:pPr>
            <w:r>
              <w:rPr>
                <w:rFonts w:ascii="Arial" w:cs="Arial" w:eastAsia="Arial" w:hAnsi="Arial"/>
                <w:sz w:val="19"/>
                <w:szCs w:val="19"/>
              </w:rPr>
              <w:t xml:space="preserve">Write taxonomy.py — loads taxonomy.yaml, validates classifications</w:t>
            </w:r>
          </w:p>
          <w:p>
            <w:pPr>
              <w:pStyle w:val="ListParagraph"/>
              <w:numPr>
                <w:ilvl w:val="0"/>
                <w:numId w:val="2"/>
              </w:numPr>
              <w:spacing w:before="40" w:after="40"/>
            </w:pPr>
            <w:r>
              <w:rPr>
                <w:rFonts w:ascii="Arial" w:cs="Arial" w:eastAsia="Arial" w:hAnsi="Arial"/>
                <w:sz w:val="19"/>
                <w:szCs w:val="19"/>
              </w:rPr>
              <w:t xml:space="preserve">Write knowledge_store.py — full interface (§5.3 operations)</w:t>
            </w:r>
          </w:p>
          <w:p>
            <w:pPr>
              <w:pStyle w:val="ListParagraph"/>
              <w:numPr>
                <w:ilvl w:val="0"/>
                <w:numId w:val="2"/>
              </w:numPr>
              <w:spacing w:before="40" w:after="40"/>
            </w:pPr>
            <w:r>
              <w:rPr>
                <w:rFonts w:ascii="Arial" w:cs="Arial" w:eastAsia="Arial" w:hAnsi="Arial"/>
                <w:sz w:val="19"/>
                <w:szCs w:val="19"/>
              </w:rPr>
              <w:t xml:space="preserve">Write validation triage function (auto-approve logic)</w:t>
            </w:r>
          </w:p>
          <w:p>
            <w:pPr>
              <w:pStyle w:val="ListParagraph"/>
              <w:numPr>
                <w:ilvl w:val="0"/>
                <w:numId w:val="2"/>
              </w:numPr>
              <w:spacing w:before="40" w:after="40"/>
            </w:pPr>
            <w:r>
              <w:rPr>
                <w:rFonts w:ascii="Arial" w:cs="Arial" w:eastAsia="Arial" w:hAnsi="Arial"/>
                <w:sz w:val="19"/>
                <w:szCs w:val="19"/>
              </w:rPr>
              <w:t xml:space="preserve">Migrate transformer.py to write from classified passages, not CSV</w:t>
            </w:r>
          </w:p>
          <w:p>
            <w:pPr>
              <w:pStyle w:val="ListParagraph"/>
              <w:numPr>
                <w:ilvl w:val="0"/>
                <w:numId w:val="2"/>
              </w:numPr>
              <w:spacing w:before="40" w:after="40"/>
            </w:pPr>
            <w:r>
              <w:rPr>
                <w:rFonts w:ascii="Arial" w:cs="Arial" w:eastAsia="Arial" w:hAnsi="Arial"/>
                <w:sz w:val="19"/>
                <w:szCs w:val="19"/>
              </w:rPr>
              <w:t xml:space="preserve">Run against existing corporate PDF corpus — compare output quality</w:t>
            </w:r>
          </w:p>
          <w:p>
            <w:pPr>
              <w:pStyle w:val="ListParagraph"/>
              <w:numPr>
                <w:ilvl w:val="0"/>
                <w:numId w:val="2"/>
              </w:numPr>
              <w:spacing w:before="40" w:after="40"/>
            </w:pPr>
            <w:r>
              <w:rPr>
                <w:rFonts w:ascii="Arial" w:cs="Arial" w:eastAsia="Arial" w:hAnsi="Arial"/>
                <w:sz w:val="19"/>
                <w:szCs w:val="19"/>
              </w:rPr>
              <w:t xml:space="preserve">Build Streamlit validation interface (validation/app.py)</w:t>
            </w:r>
          </w:p>
          <w:p>
            <w:pPr>
              <w:pStyle w:val="ListParagraph"/>
              <w:numPr>
                <w:ilvl w:val="0"/>
                <w:numId w:val="2"/>
              </w:numPr>
              <w:spacing w:before="40" w:after="40"/>
            </w:pPr>
            <w:r>
              <w:rPr>
                <w:rFonts w:ascii="Arial" w:cs="Arial" w:eastAsia="Arial" w:hAnsi="Arial"/>
                <w:sz w:val="19"/>
                <w:szCs w:val="19"/>
              </w:rPr>
              <w:t xml:space="preserve">Run evaluation test set — record baseline metrics</w:t>
            </w:r>
          </w:p>
          <w:p>
            <w:pPr>
              <w:pStyle w:val="ListParagraph"/>
              <w:numPr>
                <w:ilvl w:val="0"/>
                <w:numId w:val="2"/>
              </w:numPr>
              <w:spacing w:before="40" w:after="40"/>
            </w:pPr>
            <w:r>
              <w:rPr>
                <w:rFonts w:ascii="Arial" w:cs="Arial" w:eastAsia="Arial" w:hAnsi="Arial"/>
                <w:sz w:val="19"/>
                <w:szCs w:val="19"/>
              </w:rPr>
              <w:t xml:space="preserve">Manual review of first 100 passages — calibrate auto-approve threshold</w:t>
            </w:r>
          </w:p>
        </w:tc>
        <w:tc>
          <w:tcPr>
            <w:tcW w:type="dxa" w:w="2880"/>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i/>
                <w:iCs/>
                <w:sz w:val="18"/>
                <w:szCs w:val="18"/>
              </w:rPr>
              <w:t xml:space="preserve">taxonomy.py</w:t>
            </w:r>
          </w:p>
          <w:p>
            <w:pPr>
              <w:pStyle w:val="ListParagraph"/>
              <w:numPr>
                <w:ilvl w:val="0"/>
                <w:numId w:val="2"/>
              </w:numPr>
              <w:spacing w:before="40" w:after="40"/>
            </w:pPr>
            <w:r>
              <w:rPr>
                <w:rFonts w:ascii="Arial" w:cs="Arial" w:eastAsia="Arial" w:hAnsi="Arial"/>
                <w:i/>
                <w:iCs/>
                <w:sz w:val="18"/>
                <w:szCs w:val="18"/>
              </w:rPr>
              <w:t xml:space="preserve">extractor.py (rewrite)</w:t>
            </w:r>
          </w:p>
          <w:p>
            <w:pPr>
              <w:pStyle w:val="ListParagraph"/>
              <w:numPr>
                <w:ilvl w:val="0"/>
                <w:numId w:val="2"/>
              </w:numPr>
              <w:spacing w:before="40" w:after="40"/>
            </w:pPr>
            <w:r>
              <w:rPr>
                <w:rFonts w:ascii="Arial" w:cs="Arial" w:eastAsia="Arial" w:hAnsi="Arial"/>
                <w:i/>
                <w:iCs/>
                <w:sz w:val="18"/>
                <w:szCs w:val="18"/>
              </w:rPr>
              <w:t xml:space="preserve">knowledge_store.py (new)</w:t>
            </w:r>
          </w:p>
          <w:p>
            <w:pPr>
              <w:pStyle w:val="ListParagraph"/>
              <w:numPr>
                <w:ilvl w:val="0"/>
                <w:numId w:val="2"/>
              </w:numPr>
              <w:spacing w:before="40" w:after="40"/>
            </w:pPr>
            <w:r>
              <w:rPr>
                <w:rFonts w:ascii="Arial" w:cs="Arial" w:eastAsia="Arial" w:hAnsi="Arial"/>
                <w:i/>
                <w:iCs/>
                <w:sz w:val="18"/>
                <w:szCs w:val="18"/>
              </w:rPr>
              <w:t xml:space="preserve">prompts/collect_v1.txt</w:t>
            </w:r>
          </w:p>
          <w:p>
            <w:pPr>
              <w:pStyle w:val="ListParagraph"/>
              <w:numPr>
                <w:ilvl w:val="0"/>
                <w:numId w:val="2"/>
              </w:numPr>
              <w:spacing w:before="40" w:after="40"/>
            </w:pPr>
            <w:r>
              <w:rPr>
                <w:rFonts w:ascii="Arial" w:cs="Arial" w:eastAsia="Arial" w:hAnsi="Arial"/>
                <w:i/>
                <w:iCs/>
                <w:sz w:val="18"/>
                <w:szCs w:val="18"/>
              </w:rPr>
              <w:t xml:space="preserve">prompts/classify_v1.txt</w:t>
            </w:r>
          </w:p>
          <w:p>
            <w:pPr>
              <w:pStyle w:val="ListParagraph"/>
              <w:numPr>
                <w:ilvl w:val="0"/>
                <w:numId w:val="2"/>
              </w:numPr>
              <w:spacing w:before="40" w:after="40"/>
            </w:pPr>
            <w:r>
              <w:rPr>
                <w:rFonts w:ascii="Arial" w:cs="Arial" w:eastAsia="Arial" w:hAnsi="Arial"/>
                <w:i/>
                <w:iCs/>
                <w:sz w:val="18"/>
                <w:szCs w:val="18"/>
              </w:rPr>
              <w:t xml:space="preserve">prompts/examples/ (few-shot)</w:t>
            </w:r>
          </w:p>
          <w:p>
            <w:pPr>
              <w:pStyle w:val="ListParagraph"/>
              <w:numPr>
                <w:ilvl w:val="0"/>
                <w:numId w:val="2"/>
              </w:numPr>
              <w:spacing w:before="40" w:after="40"/>
            </w:pPr>
            <w:r>
              <w:rPr>
                <w:rFonts w:ascii="Arial" w:cs="Arial" w:eastAsia="Arial" w:hAnsi="Arial"/>
                <w:i/>
                <w:iCs/>
                <w:sz w:val="18"/>
                <w:szCs w:val="18"/>
              </w:rPr>
              <w:t xml:space="preserve">validation/app.py (Streamlit)</w:t>
            </w:r>
          </w:p>
          <w:p>
            <w:pPr>
              <w:pStyle w:val="ListParagraph"/>
              <w:numPr>
                <w:ilvl w:val="0"/>
                <w:numId w:val="2"/>
              </w:numPr>
              <w:spacing w:before="40" w:after="40"/>
            </w:pPr>
            <w:r>
              <w:rPr>
                <w:rFonts w:ascii="Arial" w:cs="Arial" w:eastAsia="Arial" w:hAnsi="Arial"/>
                <w:i/>
                <w:iCs/>
                <w:sz w:val="18"/>
                <w:szCs w:val="18"/>
              </w:rPr>
              <w:t xml:space="preserve">transformer.py (simplify)</w:t>
            </w:r>
          </w:p>
          <w:p>
            <w:pPr>
              <w:pStyle w:val="ListParagraph"/>
              <w:numPr>
                <w:ilvl w:val="0"/>
                <w:numId w:val="2"/>
              </w:numPr>
              <w:spacing w:before="40" w:after="40"/>
            </w:pPr>
            <w:r>
              <w:rPr>
                <w:rFonts w:ascii="Arial" w:cs="Arial" w:eastAsia="Arial" w:hAnsi="Arial"/>
                <w:i/>
                <w:iCs/>
                <w:sz w:val="18"/>
                <w:szCs w:val="18"/>
              </w:rPr>
              <w:t xml:space="preserve">eval/run_eval.py</w:t>
            </w:r>
          </w:p>
        </w:tc>
        <w:tc>
          <w:tcPr>
            <w:tcW w:type="dxa" w:w="2880"/>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Stage A prompt: how many passages per document is acceptable?</w:t>
            </w:r>
          </w:p>
          <w:p>
            <w:pPr>
              <w:pStyle w:val="ListParagraph"/>
              <w:numPr>
                <w:ilvl w:val="0"/>
                <w:numId w:val="2"/>
              </w:numPr>
              <w:spacing w:before="40" w:after="40"/>
            </w:pPr>
            <w:r>
              <w:rPr>
                <w:rFonts w:ascii="Arial" w:cs="Arial" w:eastAsia="Arial" w:hAnsi="Arial"/>
                <w:sz w:val="18"/>
                <w:szCs w:val="18"/>
              </w:rPr>
              <w:t xml:space="preserve">Confidence threshold for auto-approve — start at 0.85, adjust after first 100 reviews</w:t>
            </w:r>
          </w:p>
          <w:p>
            <w:pPr>
              <w:pStyle w:val="ListParagraph"/>
              <w:numPr>
                <w:ilvl w:val="0"/>
                <w:numId w:val="2"/>
              </w:numPr>
              <w:spacing w:before="40" w:after="40"/>
            </w:pPr>
            <w:r>
              <w:rPr>
                <w:rFonts w:ascii="Arial" w:cs="Arial" w:eastAsia="Arial" w:hAnsi="Arial"/>
                <w:sz w:val="18"/>
                <w:szCs w:val="18"/>
              </w:rPr>
              <w:t xml:space="preserve">Which existing CSV tables are replaced vs. archived?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9360"/>
            <w:gridSpan w:val="3"/>
            <w:tcBorders>
              <w:top w:val="single" w:color="1B3A5C" w:sz="1"/>
              <w:left w:val="single" w:color="1B3A5C" w:sz="1"/>
              <w:bottom w:val="single" w:color="1B3A5C" w:sz="1"/>
              <w:right w:val="single" w:color="1B3A5C" w:sz="1"/>
            </w:tcBorders>
            <w:shd w:fill="C47A1E" w:val="clear"/>
            <w:tcMar>
              <w:top w:type="dxa" w:w="120"/>
              <w:left w:type="dxa" w:w="180"/>
              <w:bottom w:type="dxa" w:w="120"/>
              <w:right w:type="dxa" w:w="180"/>
            </w:tcMar>
          </w:tcPr>
          <w:p>
            <w:r>
              <w:rPr>
                <w:rFonts w:ascii="Arial" w:cs="Arial" w:eastAsia="Arial" w:hAnsi="Arial"/>
                <w:b/>
                <w:bCs/>
                <w:color w:val="FFFFFF"/>
                <w:sz w:val="24"/>
                <w:szCs w:val="24"/>
              </w:rPr>
              <w:t xml:space="preserve">PHASE 2  ·  Unified Ingestion — Seven Adapters</w:t>
            </w:r>
          </w:p>
        </w:tc>
      </w:tr>
      <w:tr>
        <w:tc>
          <w:tcPr>
            <w:tcW w:type="dxa" w:w="3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TASKS</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FILES CREATED / MODIFIED</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DECISIONS REQUIRED FIRST</w:t>
            </w:r>
          </w:p>
        </w:tc>
      </w:tr>
      <w:tr>
        <w:tc>
          <w:tcPr>
            <w:tcW w:type="dxa" w:w="3600"/>
            <w:tcBorders>
              <w:top w:val="single" w:color="C5D5E8" w:sz="1"/>
              <w:left w:val="single" w:color="C5D5E8" w:sz="1"/>
              <w:bottom w:val="single" w:color="C5D5E8" w:sz="1"/>
              <w:right w:val="single" w:color="C5D5E8"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9"/>
                <w:szCs w:val="19"/>
              </w:rPr>
              <w:t xml:space="preserve">Write adapters/base.py — abstract adapter interface</w:t>
            </w:r>
          </w:p>
          <w:p>
            <w:pPr>
              <w:pStyle w:val="ListParagraph"/>
              <w:numPr>
                <w:ilvl w:val="0"/>
                <w:numId w:val="2"/>
              </w:numPr>
              <w:spacing w:before="40" w:after="40"/>
            </w:pPr>
            <w:r>
              <w:rPr>
                <w:rFonts w:ascii="Arial" w:cs="Arial" w:eastAsia="Arial" w:hAnsi="Arial"/>
                <w:sz w:val="19"/>
                <w:szCs w:val="19"/>
              </w:rPr>
              <w:t xml:space="preserve">Write adapters/corporate_pdf.py — wraps existing indexing.py logic</w:t>
            </w:r>
          </w:p>
          <w:p>
            <w:pPr>
              <w:pStyle w:val="ListParagraph"/>
              <w:numPr>
                <w:ilvl w:val="0"/>
                <w:numId w:val="2"/>
              </w:numPr>
              <w:spacing w:before="40" w:after="40"/>
            </w:pPr>
            <w:r>
              <w:rPr>
                <w:rFonts w:ascii="Arial" w:cs="Arial" w:eastAsia="Arial" w:hAnsi="Arial"/>
                <w:sz w:val="19"/>
                <w:szCs w:val="19"/>
              </w:rPr>
              <w:t xml:space="preserve">Write adapters/google_cse.py — merges Search_and_download_tool</w:t>
            </w:r>
          </w:p>
          <w:p>
            <w:pPr>
              <w:pStyle w:val="ListParagraph"/>
              <w:numPr>
                <w:ilvl w:val="0"/>
                <w:numId w:val="2"/>
              </w:numPr>
              <w:spacing w:before="40" w:after="40"/>
            </w:pPr>
            <w:r>
              <w:rPr>
                <w:rFonts w:ascii="Arial" w:cs="Arial" w:eastAsia="Arial" w:hAnsi="Arial"/>
                <w:sz w:val="19"/>
                <w:szCs w:val="19"/>
              </w:rPr>
              <w:t xml:space="preserve">Write adapters/structured_api.py — GCF, OECD, World Bank, UNFCCC</w:t>
            </w:r>
          </w:p>
          <w:p>
            <w:pPr>
              <w:pStyle w:val="ListParagraph"/>
              <w:numPr>
                <w:ilvl w:val="0"/>
                <w:numId w:val="2"/>
              </w:numPr>
              <w:spacing w:before="40" w:after="40"/>
            </w:pPr>
            <w:r>
              <w:rPr>
                <w:rFonts w:ascii="Arial" w:cs="Arial" w:eastAsia="Arial" w:hAnsi="Arial"/>
                <w:sz w:val="19"/>
                <w:szCs w:val="19"/>
              </w:rPr>
              <w:t xml:space="preserve">Write adapters/academic.py — Semantic Scholar + OpenAlex</w:t>
            </w:r>
          </w:p>
          <w:p>
            <w:pPr>
              <w:pStyle w:val="ListParagraph"/>
              <w:numPr>
                <w:ilvl w:val="0"/>
                <w:numId w:val="2"/>
              </w:numPr>
              <w:spacing w:before="40" w:after="40"/>
            </w:pPr>
            <w:r>
              <w:rPr>
                <w:rFonts w:ascii="Arial" w:cs="Arial" w:eastAsia="Arial" w:hAnsi="Arial"/>
                <w:sz w:val="19"/>
                <w:szCs w:val="19"/>
              </w:rPr>
              <w:t xml:space="preserve">Write adapters/playwright_scraper.py — targeted site crawls</w:t>
            </w:r>
          </w:p>
          <w:p>
            <w:pPr>
              <w:pStyle w:val="ListParagraph"/>
              <w:numPr>
                <w:ilvl w:val="0"/>
                <w:numId w:val="2"/>
              </w:numPr>
              <w:spacing w:before="40" w:after="40"/>
            </w:pPr>
            <w:r>
              <w:rPr>
                <w:rFonts w:ascii="Arial" w:cs="Arial" w:eastAsia="Arial" w:hAnsi="Arial"/>
                <w:sz w:val="19"/>
                <w:szCs w:val="19"/>
              </w:rPr>
              <w:t xml:space="preserve">Write adapters/rss_monitor.py — news event triggers</w:t>
            </w:r>
          </w:p>
          <w:p>
            <w:pPr>
              <w:pStyle w:val="ListParagraph"/>
              <w:numPr>
                <w:ilvl w:val="0"/>
                <w:numId w:val="2"/>
              </w:numPr>
              <w:spacing w:before="40" w:after="40"/>
            </w:pPr>
            <w:r>
              <w:rPr>
                <w:rFonts w:ascii="Arial" w:cs="Arial" w:eastAsia="Arial" w:hAnsi="Arial"/>
                <w:sz w:val="19"/>
                <w:szCs w:val="19"/>
              </w:rPr>
              <w:t xml:space="preserve">Write adapters/exa_search.py — Exa.ai neural similarity</w:t>
            </w:r>
          </w:p>
          <w:p>
            <w:pPr>
              <w:pStyle w:val="ListParagraph"/>
              <w:numPr>
                <w:ilvl w:val="0"/>
                <w:numId w:val="2"/>
              </w:numPr>
              <w:spacing w:before="40" w:after="40"/>
            </w:pPr>
            <w:r>
              <w:rPr>
                <w:rFonts w:ascii="Arial" w:cs="Arial" w:eastAsia="Arial" w:hAnsi="Arial"/>
                <w:sz w:val="19"/>
                <w:szCs w:val="19"/>
              </w:rPr>
              <w:t xml:space="preserve">Write ingest.py — unified entry point, adapter discovery</w:t>
            </w:r>
          </w:p>
          <w:p>
            <w:pPr>
              <w:pStyle w:val="ListParagraph"/>
              <w:numPr>
                <w:ilvl w:val="0"/>
                <w:numId w:val="2"/>
              </w:numPr>
              <w:spacing w:before="40" w:after="40"/>
            </w:pPr>
            <w:r>
              <w:rPr>
                <w:rFonts w:ascii="Arial" w:cs="Arial" w:eastAsia="Arial" w:hAnsi="Arial"/>
                <w:sz w:val="19"/>
                <w:szCs w:val="19"/>
              </w:rPr>
              <w:t xml:space="preserve">Write sources.yaml — source registry with cadence and adapter mapping</w:t>
            </w:r>
          </w:p>
          <w:p>
            <w:pPr>
              <w:pStyle w:val="ListParagraph"/>
              <w:numPr>
                <w:ilvl w:val="0"/>
                <w:numId w:val="2"/>
              </w:numPr>
              <w:spacing w:before="40" w:after="40"/>
            </w:pPr>
            <w:r>
              <w:rPr>
                <w:rFonts w:ascii="Arial" w:cs="Arial" w:eastAsia="Arial" w:hAnsi="Arial"/>
                <w:sz w:val="19"/>
                <w:szCs w:val="19"/>
              </w:rPr>
              <w:t xml:space="preserve">Set up scheduling (GitHub Actions cron for cloud production)</w:t>
            </w:r>
          </w:p>
          <w:p>
            <w:pPr>
              <w:pStyle w:val="ListParagraph"/>
              <w:numPr>
                <w:ilvl w:val="0"/>
                <w:numId w:val="2"/>
              </w:numPr>
              <w:spacing w:before="40" w:after="40"/>
            </w:pPr>
            <w:r>
              <w:rPr>
                <w:rFonts w:ascii="Arial" w:cs="Arial" w:eastAsia="Arial" w:hAnsi="Arial"/>
                <w:sz w:val="19"/>
                <w:szCs w:val="19"/>
              </w:rPr>
              <w:t xml:space="preserve">Test each adapter against its target source with rate limiting</w:t>
            </w:r>
          </w:p>
          <w:p>
            <w:pPr>
              <w:pStyle w:val="ListParagraph"/>
              <w:numPr>
                <w:ilvl w:val="0"/>
                <w:numId w:val="2"/>
              </w:numPr>
              <w:spacing w:before="40" w:after="40"/>
            </w:pPr>
            <w:r>
              <w:rPr>
                <w:rFonts w:ascii="Arial" w:cs="Arial" w:eastAsia="Arial" w:hAnsi="Arial"/>
                <w:sz w:val="19"/>
                <w:szCs w:val="19"/>
              </w:rPr>
              <w:t xml:space="preserve">Validate deduplication via content_hash across adapters</w:t>
            </w:r>
          </w:p>
        </w:tc>
        <w:tc>
          <w:tcPr>
            <w:tcW w:type="dxa" w:w="2880"/>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i/>
                <w:iCs/>
                <w:sz w:val="18"/>
                <w:szCs w:val="18"/>
              </w:rPr>
              <w:t xml:space="preserve">ingest.py</w:t>
            </w:r>
          </w:p>
          <w:p>
            <w:pPr>
              <w:pStyle w:val="ListParagraph"/>
              <w:numPr>
                <w:ilvl w:val="0"/>
                <w:numId w:val="2"/>
              </w:numPr>
              <w:spacing w:before="40" w:after="40"/>
            </w:pPr>
            <w:r>
              <w:rPr>
                <w:rFonts w:ascii="Arial" w:cs="Arial" w:eastAsia="Arial" w:hAnsi="Arial"/>
                <w:i/>
                <w:iCs/>
                <w:sz w:val="18"/>
                <w:szCs w:val="18"/>
              </w:rPr>
              <w:t xml:space="preserve">adapters/base.py</w:t>
            </w:r>
          </w:p>
          <w:p>
            <w:pPr>
              <w:pStyle w:val="ListParagraph"/>
              <w:numPr>
                <w:ilvl w:val="0"/>
                <w:numId w:val="2"/>
              </w:numPr>
              <w:spacing w:before="40" w:after="40"/>
            </w:pPr>
            <w:r>
              <w:rPr>
                <w:rFonts w:ascii="Arial" w:cs="Arial" w:eastAsia="Arial" w:hAnsi="Arial"/>
                <w:i/>
                <w:iCs/>
                <w:sz w:val="18"/>
                <w:szCs w:val="18"/>
              </w:rPr>
              <w:t xml:space="preserve">adapters/corporate_pdf.py</w:t>
            </w:r>
          </w:p>
          <w:p>
            <w:pPr>
              <w:pStyle w:val="ListParagraph"/>
              <w:numPr>
                <w:ilvl w:val="0"/>
                <w:numId w:val="2"/>
              </w:numPr>
              <w:spacing w:before="40" w:after="40"/>
            </w:pPr>
            <w:r>
              <w:rPr>
                <w:rFonts w:ascii="Arial" w:cs="Arial" w:eastAsia="Arial" w:hAnsi="Arial"/>
                <w:i/>
                <w:iCs/>
                <w:sz w:val="18"/>
                <w:szCs w:val="18"/>
              </w:rPr>
              <w:t xml:space="preserve">adapters/google_cse.py</w:t>
            </w:r>
          </w:p>
          <w:p>
            <w:pPr>
              <w:pStyle w:val="ListParagraph"/>
              <w:numPr>
                <w:ilvl w:val="0"/>
                <w:numId w:val="2"/>
              </w:numPr>
              <w:spacing w:before="40" w:after="40"/>
            </w:pPr>
            <w:r>
              <w:rPr>
                <w:rFonts w:ascii="Arial" w:cs="Arial" w:eastAsia="Arial" w:hAnsi="Arial"/>
                <w:i/>
                <w:iCs/>
                <w:sz w:val="18"/>
                <w:szCs w:val="18"/>
              </w:rPr>
              <w:t xml:space="preserve">adapters/structured_api.py</w:t>
            </w:r>
          </w:p>
          <w:p>
            <w:pPr>
              <w:pStyle w:val="ListParagraph"/>
              <w:numPr>
                <w:ilvl w:val="0"/>
                <w:numId w:val="2"/>
              </w:numPr>
              <w:spacing w:before="40" w:after="40"/>
            </w:pPr>
            <w:r>
              <w:rPr>
                <w:rFonts w:ascii="Arial" w:cs="Arial" w:eastAsia="Arial" w:hAnsi="Arial"/>
                <w:i/>
                <w:iCs/>
                <w:sz w:val="18"/>
                <w:szCs w:val="18"/>
              </w:rPr>
              <w:t xml:space="preserve">adapters/academic.py</w:t>
            </w:r>
          </w:p>
          <w:p>
            <w:pPr>
              <w:pStyle w:val="ListParagraph"/>
              <w:numPr>
                <w:ilvl w:val="0"/>
                <w:numId w:val="2"/>
              </w:numPr>
              <w:spacing w:before="40" w:after="40"/>
            </w:pPr>
            <w:r>
              <w:rPr>
                <w:rFonts w:ascii="Arial" w:cs="Arial" w:eastAsia="Arial" w:hAnsi="Arial"/>
                <w:i/>
                <w:iCs/>
                <w:sz w:val="18"/>
                <w:szCs w:val="18"/>
              </w:rPr>
              <w:t xml:space="preserve">adapters/playwright_scraper.py</w:t>
            </w:r>
          </w:p>
          <w:p>
            <w:pPr>
              <w:pStyle w:val="ListParagraph"/>
              <w:numPr>
                <w:ilvl w:val="0"/>
                <w:numId w:val="2"/>
              </w:numPr>
              <w:spacing w:before="40" w:after="40"/>
            </w:pPr>
            <w:r>
              <w:rPr>
                <w:rFonts w:ascii="Arial" w:cs="Arial" w:eastAsia="Arial" w:hAnsi="Arial"/>
                <w:i/>
                <w:iCs/>
                <w:sz w:val="18"/>
                <w:szCs w:val="18"/>
              </w:rPr>
              <w:t xml:space="preserve">adapters/rss_monitor.py</w:t>
            </w:r>
          </w:p>
          <w:p>
            <w:pPr>
              <w:pStyle w:val="ListParagraph"/>
              <w:numPr>
                <w:ilvl w:val="0"/>
                <w:numId w:val="2"/>
              </w:numPr>
              <w:spacing w:before="40" w:after="40"/>
            </w:pPr>
            <w:r>
              <w:rPr>
                <w:rFonts w:ascii="Arial" w:cs="Arial" w:eastAsia="Arial" w:hAnsi="Arial"/>
                <w:i/>
                <w:iCs/>
                <w:sz w:val="18"/>
                <w:szCs w:val="18"/>
              </w:rPr>
              <w:t xml:space="preserve">adapters/exa_search.py</w:t>
            </w:r>
          </w:p>
          <w:p>
            <w:pPr>
              <w:pStyle w:val="ListParagraph"/>
              <w:numPr>
                <w:ilvl w:val="0"/>
                <w:numId w:val="2"/>
              </w:numPr>
              <w:spacing w:before="40" w:after="40"/>
            </w:pPr>
            <w:r>
              <w:rPr>
                <w:rFonts w:ascii="Arial" w:cs="Arial" w:eastAsia="Arial" w:hAnsi="Arial"/>
                <w:i/>
                <w:iCs/>
                <w:sz w:val="18"/>
                <w:szCs w:val="18"/>
              </w:rPr>
              <w:t xml:space="preserve">sources.yaml</w:t>
            </w:r>
          </w:p>
          <w:p>
            <w:pPr>
              <w:pStyle w:val="ListParagraph"/>
              <w:numPr>
                <w:ilvl w:val="0"/>
                <w:numId w:val="2"/>
              </w:numPr>
              <w:spacing w:before="40" w:after="40"/>
            </w:pPr>
            <w:r>
              <w:rPr>
                <w:rFonts w:ascii="Arial" w:cs="Arial" w:eastAsia="Arial" w:hAnsi="Arial"/>
                <w:i/>
                <w:iCs/>
                <w:sz w:val="18"/>
                <w:szCs w:val="18"/>
              </w:rPr>
              <w:t xml:space="preserve">.github/workflows/ingest.yml</w:t>
            </w:r>
          </w:p>
        </w:tc>
        <w:tc>
          <w:tcPr>
            <w:tcW w:type="dxa" w:w="2880"/>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API keys and credentials for each source — GCF, OECD, Semantic Scholar, Exa.ai</w:t>
            </w:r>
          </w:p>
          <w:p>
            <w:pPr>
              <w:pStyle w:val="ListParagraph"/>
              <w:numPr>
                <w:ilvl w:val="0"/>
                <w:numId w:val="2"/>
              </w:numPr>
              <w:spacing w:before="40" w:after="40"/>
            </w:pPr>
            <w:r>
              <w:rPr>
                <w:rFonts w:ascii="Arial" w:cs="Arial" w:eastAsia="Arial" w:hAnsi="Arial"/>
                <w:sz w:val="18"/>
                <w:szCs w:val="18"/>
              </w:rPr>
              <w:t xml:space="preserve">Search_and_download_tool interface confirmed (from Phase 0 inspection)</w:t>
            </w:r>
          </w:p>
          <w:p>
            <w:pPr>
              <w:pStyle w:val="ListParagraph"/>
              <w:numPr>
                <w:ilvl w:val="0"/>
                <w:numId w:val="2"/>
              </w:numPr>
              <w:spacing w:before="40" w:after="40"/>
            </w:pPr>
            <w:r>
              <w:rPr>
                <w:rFonts w:ascii="Arial" w:cs="Arial" w:eastAsia="Arial" w:hAnsi="Arial"/>
                <w:sz w:val="18"/>
                <w:szCs w:val="18"/>
              </w:rPr>
              <w:t xml:space="preserve">Rate limit strategy per API — especially GCF and OECD</w:t>
            </w:r>
          </w:p>
          <w:p>
            <w:pPr>
              <w:pStyle w:val="ListParagraph"/>
              <w:numPr>
                <w:ilvl w:val="0"/>
                <w:numId w:val="2"/>
              </w:numPr>
              <w:spacing w:before="40" w:after="40"/>
            </w:pPr>
            <w:r>
              <w:rPr>
                <w:rFonts w:ascii="Arial" w:cs="Arial" w:eastAsia="Arial" w:hAnsi="Arial"/>
                <w:sz w:val="18"/>
                <w:szCs w:val="18"/>
              </w:rPr>
              <w:t xml:space="preserve">Multi-language handling: fr and es extraction via which model?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9360"/>
            <w:gridSpan w:val="3"/>
            <w:tcBorders>
              <w:top w:val="single" w:color="1B3A5C" w:sz="1"/>
              <w:left w:val="single" w:color="1B3A5C" w:sz="1"/>
              <w:bottom w:val="single" w:color="1B3A5C" w:sz="1"/>
              <w:right w:val="single" w:color="1B3A5C" w:sz="1"/>
            </w:tcBorders>
            <w:shd w:fill="2E6DA4" w:val="clear"/>
            <w:tcMar>
              <w:top w:type="dxa" w:w="120"/>
              <w:left w:type="dxa" w:w="180"/>
              <w:bottom w:type="dxa" w:w="120"/>
              <w:right w:type="dxa" w:w="180"/>
            </w:tcMar>
          </w:tcPr>
          <w:p>
            <w:r>
              <w:rPr>
                <w:rFonts w:ascii="Arial" w:cs="Arial" w:eastAsia="Arial" w:hAnsi="Arial"/>
                <w:b/>
                <w:bCs/>
                <w:color w:val="FFFFFF"/>
                <w:sz w:val="24"/>
                <w:szCs w:val="24"/>
              </w:rPr>
              <w:t xml:space="preserve">PHASE 3  ·  Output Generation</w:t>
            </w:r>
          </w:p>
        </w:tc>
      </w:tr>
      <w:tr>
        <w:tc>
          <w:tcPr>
            <w:tcW w:type="dxa" w:w="36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TASKS</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FILES CREATED / MODIFIED</w:t>
            </w:r>
          </w:p>
        </w:tc>
        <w:tc>
          <w:tcPr>
            <w:tcW w:type="dxa" w:w="28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DECISIONS REQUIRED FIRST</w:t>
            </w:r>
          </w:p>
        </w:tc>
      </w:tr>
      <w:tr>
        <w:tc>
          <w:tcPr>
            <w:tcW w:type="dxa" w:w="3600"/>
            <w:tcBorders>
              <w:top w:val="single" w:color="C5D5E8" w:sz="1"/>
              <w:left w:val="single" w:color="C5D5E8" w:sz="1"/>
              <w:bottom w:val="single" w:color="C5D5E8" w:sz="1"/>
              <w:right w:val="single" w:color="C5D5E8" w:sz="1"/>
            </w:tcBorders>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9"/>
                <w:szCs w:val="19"/>
              </w:rPr>
              <w:t xml:space="preserve">Write outputs/newsletter.py — query + cluster + LLM synthesis</w:t>
            </w:r>
          </w:p>
          <w:p>
            <w:pPr>
              <w:pStyle w:val="ListParagraph"/>
              <w:numPr>
                <w:ilvl w:val="0"/>
                <w:numId w:val="2"/>
              </w:numPr>
              <w:spacing w:before="40" w:after="40"/>
            </w:pPr>
            <w:r>
              <w:rPr>
                <w:rFonts w:ascii="Arial" w:cs="Arial" w:eastAsia="Arial" w:hAnsi="Arial"/>
                <w:sz w:val="19"/>
                <w:szCs w:val="19"/>
              </w:rPr>
              <w:t xml:space="preserve">Write outputs/sector_brief.py — sector filter + cross-reference + brief</w:t>
            </w:r>
          </w:p>
          <w:p>
            <w:pPr>
              <w:pStyle w:val="ListParagraph"/>
              <w:numPr>
                <w:ilvl w:val="0"/>
                <w:numId w:val="2"/>
              </w:numPr>
              <w:spacing w:before="40" w:after="40"/>
            </w:pPr>
            <w:r>
              <w:rPr>
                <w:rFonts w:ascii="Arial" w:cs="Arial" w:eastAsia="Arial" w:hAnsi="Arial"/>
                <w:sz w:val="19"/>
                <w:szCs w:val="19"/>
              </w:rPr>
              <w:t xml:space="preserve">Write outputs/company_assessment.py — D1–D8 dimension scoring</w:t>
            </w:r>
          </w:p>
          <w:p>
            <w:pPr>
              <w:pStyle w:val="ListParagraph"/>
              <w:numPr>
                <w:ilvl w:val="0"/>
                <w:numId w:val="2"/>
              </w:numPr>
              <w:spacing w:before="40" w:after="40"/>
            </w:pPr>
            <w:r>
              <w:rPr>
                <w:rFonts w:ascii="Arial" w:cs="Arial" w:eastAsia="Arial" w:hAnsi="Arial"/>
                <w:sz w:val="19"/>
                <w:szCs w:val="19"/>
              </w:rPr>
              <w:t xml:space="preserve">Write outputs/templates/ — Jinja2 templates for each output type</w:t>
            </w:r>
          </w:p>
          <w:p>
            <w:pPr>
              <w:pStyle w:val="ListParagraph"/>
              <w:numPr>
                <w:ilvl w:val="0"/>
                <w:numId w:val="2"/>
              </w:numPr>
              <w:spacing w:before="40" w:after="40"/>
            </w:pPr>
            <w:r>
              <w:rPr>
                <w:rFonts w:ascii="Arial" w:cs="Arial" w:eastAsia="Arial" w:hAnsi="Arial"/>
                <w:sz w:val="19"/>
                <w:szCs w:val="19"/>
              </w:rPr>
              <w:t xml:space="preserve">Align newsletter output to Report 1 format from Methodology v2</w:t>
            </w:r>
          </w:p>
          <w:p>
            <w:pPr>
              <w:pStyle w:val="ListParagraph"/>
              <w:numPr>
                <w:ilvl w:val="0"/>
                <w:numId w:val="2"/>
              </w:numPr>
              <w:spacing w:before="40" w:after="40"/>
            </w:pPr>
            <w:r>
              <w:rPr>
                <w:rFonts w:ascii="Arial" w:cs="Arial" w:eastAsia="Arial" w:hAnsi="Arial"/>
                <w:sz w:val="19"/>
                <w:szCs w:val="19"/>
              </w:rPr>
              <w:t xml:space="preserve">Align sector brief to Report 2 D1–D8 rubric with ESRS E1/E2 alignment</w:t>
            </w:r>
          </w:p>
          <w:p>
            <w:pPr>
              <w:pStyle w:val="ListParagraph"/>
              <w:numPr>
                <w:ilvl w:val="0"/>
                <w:numId w:val="2"/>
              </w:numPr>
              <w:spacing w:before="40" w:after="40"/>
            </w:pPr>
            <w:r>
              <w:rPr>
                <w:rFonts w:ascii="Arial" w:cs="Arial" w:eastAsia="Arial" w:hAnsi="Arial"/>
                <w:sz w:val="19"/>
                <w:szCs w:val="19"/>
              </w:rPr>
              <w:t xml:space="preserve">Align finance section to CPI Global Landscape methodology</w:t>
            </w:r>
          </w:p>
          <w:p>
            <w:pPr>
              <w:pStyle w:val="ListParagraph"/>
              <w:numPr>
                <w:ilvl w:val="0"/>
                <w:numId w:val="2"/>
              </w:numPr>
              <w:spacing w:before="40" w:after="40"/>
            </w:pPr>
            <w:r>
              <w:rPr>
                <w:rFonts w:ascii="Arial" w:cs="Arial" w:eastAsia="Arial" w:hAnsi="Arial"/>
                <w:sz w:val="19"/>
                <w:szCs w:val="19"/>
              </w:rPr>
              <w:t xml:space="preserve">Test with manually validated corpus from Phase 1</w:t>
            </w:r>
          </w:p>
          <w:p>
            <w:pPr>
              <w:pStyle w:val="ListParagraph"/>
              <w:numPr>
                <w:ilvl w:val="0"/>
                <w:numId w:val="2"/>
              </w:numPr>
              <w:spacing w:before="40" w:after="40"/>
            </w:pPr>
            <w:r>
              <w:rPr>
                <w:rFonts w:ascii="Arial" w:cs="Arial" w:eastAsia="Arial" w:hAnsi="Arial"/>
                <w:sz w:val="19"/>
                <w:szCs w:val="19"/>
              </w:rPr>
              <w:t xml:space="preserve">Add citation generation — every claim in output traced to passage + source</w:t>
            </w:r>
          </w:p>
          <w:p>
            <w:pPr>
              <w:pStyle w:val="ListParagraph"/>
              <w:numPr>
                <w:ilvl w:val="0"/>
                <w:numId w:val="2"/>
              </w:numPr>
              <w:spacing w:before="40" w:after="40"/>
            </w:pPr>
            <w:r>
              <w:rPr>
                <w:rFonts w:ascii="Arial" w:cs="Arial" w:eastAsia="Arial" w:hAnsi="Arial"/>
                <w:sz w:val="19"/>
                <w:szCs w:val="19"/>
              </w:rPr>
              <w:t xml:space="preserve">Deploy Streamlit validation interface to Azure App Service</w:t>
            </w:r>
          </w:p>
          <w:p>
            <w:pPr>
              <w:pStyle w:val="ListParagraph"/>
              <w:numPr>
                <w:ilvl w:val="0"/>
                <w:numId w:val="2"/>
              </w:numPr>
              <w:spacing w:before="40" w:after="40"/>
            </w:pPr>
            <w:r>
              <w:rPr>
                <w:rFonts w:ascii="Arial" w:cs="Arial" w:eastAsia="Arial" w:hAnsi="Arial"/>
                <w:sz w:val="19"/>
                <w:szCs w:val="19"/>
              </w:rPr>
              <w:t xml:space="preserve">Set up quality metrics dashboard</w:t>
            </w:r>
          </w:p>
        </w:tc>
        <w:tc>
          <w:tcPr>
            <w:tcW w:type="dxa" w:w="2880"/>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i/>
                <w:iCs/>
                <w:sz w:val="18"/>
                <w:szCs w:val="18"/>
              </w:rPr>
              <w:t xml:space="preserve">outputs/newsletter.py</w:t>
            </w:r>
          </w:p>
          <w:p>
            <w:pPr>
              <w:pStyle w:val="ListParagraph"/>
              <w:numPr>
                <w:ilvl w:val="0"/>
                <w:numId w:val="2"/>
              </w:numPr>
              <w:spacing w:before="40" w:after="40"/>
            </w:pPr>
            <w:r>
              <w:rPr>
                <w:rFonts w:ascii="Arial" w:cs="Arial" w:eastAsia="Arial" w:hAnsi="Arial"/>
                <w:i/>
                <w:iCs/>
                <w:sz w:val="18"/>
                <w:szCs w:val="18"/>
              </w:rPr>
              <w:t xml:space="preserve">outputs/sector_brief.py</w:t>
            </w:r>
          </w:p>
          <w:p>
            <w:pPr>
              <w:pStyle w:val="ListParagraph"/>
              <w:numPr>
                <w:ilvl w:val="0"/>
                <w:numId w:val="2"/>
              </w:numPr>
              <w:spacing w:before="40" w:after="40"/>
            </w:pPr>
            <w:r>
              <w:rPr>
                <w:rFonts w:ascii="Arial" w:cs="Arial" w:eastAsia="Arial" w:hAnsi="Arial"/>
                <w:i/>
                <w:iCs/>
                <w:sz w:val="18"/>
                <w:szCs w:val="18"/>
              </w:rPr>
              <w:t xml:space="preserve">outputs/company_assessment.py</w:t>
            </w:r>
          </w:p>
          <w:p>
            <w:pPr>
              <w:pStyle w:val="ListParagraph"/>
              <w:numPr>
                <w:ilvl w:val="0"/>
                <w:numId w:val="2"/>
              </w:numPr>
              <w:spacing w:before="40" w:after="40"/>
            </w:pPr>
            <w:r>
              <w:rPr>
                <w:rFonts w:ascii="Arial" w:cs="Arial" w:eastAsia="Arial" w:hAnsi="Arial"/>
                <w:i/>
                <w:iCs/>
                <w:sz w:val="18"/>
                <w:szCs w:val="18"/>
              </w:rPr>
              <w:t xml:space="preserve">outputs/templates/newsletter.j2</w:t>
            </w:r>
          </w:p>
          <w:p>
            <w:pPr>
              <w:pStyle w:val="ListParagraph"/>
              <w:numPr>
                <w:ilvl w:val="0"/>
                <w:numId w:val="2"/>
              </w:numPr>
              <w:spacing w:before="40" w:after="40"/>
            </w:pPr>
            <w:r>
              <w:rPr>
                <w:rFonts w:ascii="Arial" w:cs="Arial" w:eastAsia="Arial" w:hAnsi="Arial"/>
                <w:i/>
                <w:iCs/>
                <w:sz w:val="18"/>
                <w:szCs w:val="18"/>
              </w:rPr>
              <w:t xml:space="preserve">outputs/templates/sector_brief.j2</w:t>
            </w:r>
          </w:p>
          <w:p>
            <w:pPr>
              <w:pStyle w:val="ListParagraph"/>
              <w:numPr>
                <w:ilvl w:val="0"/>
                <w:numId w:val="2"/>
              </w:numPr>
              <w:spacing w:before="40" w:after="40"/>
            </w:pPr>
            <w:r>
              <w:rPr>
                <w:rFonts w:ascii="Arial" w:cs="Arial" w:eastAsia="Arial" w:hAnsi="Arial"/>
                <w:i/>
                <w:iCs/>
                <w:sz w:val="18"/>
                <w:szCs w:val="18"/>
              </w:rPr>
              <w:t xml:space="preserve">outputs/templates/company_scorecard.j2</w:t>
            </w:r>
          </w:p>
          <w:p>
            <w:pPr>
              <w:pStyle w:val="ListParagraph"/>
              <w:numPr>
                <w:ilvl w:val="0"/>
                <w:numId w:val="2"/>
              </w:numPr>
              <w:spacing w:before="40" w:after="40"/>
            </w:pPr>
            <w:r>
              <w:rPr>
                <w:rFonts w:ascii="Arial" w:cs="Arial" w:eastAsia="Arial" w:hAnsi="Arial"/>
                <w:i/>
                <w:iCs/>
                <w:sz w:val="18"/>
                <w:szCs w:val="18"/>
              </w:rPr>
              <w:t xml:space="preserve">outputs/citations.py</w:t>
            </w:r>
          </w:p>
          <w:p>
            <w:pPr>
              <w:pStyle w:val="ListParagraph"/>
              <w:numPr>
                <w:ilvl w:val="0"/>
                <w:numId w:val="2"/>
              </w:numPr>
              <w:spacing w:before="40" w:after="40"/>
            </w:pPr>
            <w:r>
              <w:rPr>
                <w:rFonts w:ascii="Arial" w:cs="Arial" w:eastAsia="Arial" w:hAnsi="Arial"/>
                <w:i/>
                <w:iCs/>
                <w:sz w:val="18"/>
                <w:szCs w:val="18"/>
              </w:rPr>
              <w:t xml:space="preserve">metrics/dashboard.py (Streamlit)</w:t>
            </w:r>
          </w:p>
        </w:tc>
        <w:tc>
          <w:tcPr>
            <w:tcW w:type="dxa" w:w="2880"/>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18"/>
                <w:szCs w:val="18"/>
              </w:rPr>
              <w:t xml:space="preserve">Newsletter trigger: manual run vs. scheduled?</w:t>
            </w:r>
          </w:p>
          <w:p>
            <w:pPr>
              <w:pStyle w:val="ListParagraph"/>
              <w:numPr>
                <w:ilvl w:val="0"/>
                <w:numId w:val="2"/>
              </w:numPr>
              <w:spacing w:before="40" w:after="40"/>
            </w:pPr>
            <w:r>
              <w:rPr>
                <w:rFonts w:ascii="Arial" w:cs="Arial" w:eastAsia="Arial" w:hAnsi="Arial"/>
                <w:sz w:val="18"/>
                <w:szCs w:val="18"/>
              </w:rPr>
              <w:t xml:space="preserve">Output format: Markdown only, or HTML + PDF export?</w:t>
            </w:r>
          </w:p>
          <w:p>
            <w:pPr>
              <w:pStyle w:val="ListParagraph"/>
              <w:numPr>
                <w:ilvl w:val="0"/>
                <w:numId w:val="2"/>
              </w:numPr>
              <w:spacing w:before="40" w:after="40"/>
            </w:pPr>
            <w:r>
              <w:rPr>
                <w:rFonts w:ascii="Arial" w:cs="Arial" w:eastAsia="Arial" w:hAnsi="Arial"/>
                <w:sz w:val="18"/>
                <w:szCs w:val="18"/>
              </w:rPr>
              <w:t xml:space="preserve">Citation format: footnote style or inline source tags?</w:t>
            </w:r>
          </w:p>
          <w:p>
            <w:pPr>
              <w:pStyle w:val="ListParagraph"/>
              <w:numPr>
                <w:ilvl w:val="0"/>
                <w:numId w:val="2"/>
              </w:numPr>
              <w:spacing w:before="40" w:after="40"/>
            </w:pPr>
            <w:r>
              <w:rPr>
                <w:rFonts w:ascii="Arial" w:cs="Arial" w:eastAsia="Arial" w:hAnsi="Arial"/>
                <w:sz w:val="18"/>
                <w:szCs w:val="18"/>
              </w:rPr>
              <w:t xml:space="preserve">Report 1/2/3 naming and template finalisation</w:t>
            </w:r>
          </w:p>
        </w:tc>
      </w:tr>
    </w:tbl>
    <w:p>
      <w:r>
        <w:br w:type="page"/>
      </w:r>
    </w:p>
    <w:p>
      <w:pPr>
        <w:pStyle w:val="Heading1"/>
        <w:spacing w:before="360" w:after="160"/>
      </w:pPr>
      <w:r>
        <w:rPr>
          <w:rFonts w:ascii="Arial" w:cs="Arial" w:eastAsia="Arial" w:hAnsi="Arial"/>
          <w:b/>
          <w:bCs/>
          <w:color w:val="1B3A5C"/>
          <w:sz w:val="36"/>
          <w:szCs w:val="36"/>
        </w:rPr>
        <w:t xml:space="preserve">10. Key Design Decisions</w:t>
      </w:r>
    </w:p>
    <w:p>
      <w:pPr>
        <w:pBdr>
          <w:bottom w:val="single" w:color="2E6DA4" w:sz="6" w:space="1"/>
        </w:pBdr>
        <w:spacing w:before="120" w:after="120"/>
      </w:pPr>
    </w:p>
    <w:p>
      <w:pPr>
        <w:spacing w:before="60" w:after="0"/>
      </w:pPr>
    </w:p>
    <w:p>
      <w:pPr>
        <w:pStyle w:val="Heading2"/>
        <w:spacing w:before="280" w:after="120"/>
      </w:pPr>
      <w:r>
        <w:rPr>
          <w:rFonts w:ascii="Arial" w:cs="Arial" w:eastAsia="Arial" w:hAnsi="Arial"/>
          <w:b/>
          <w:bCs/>
          <w:color w:val="2E6DA4"/>
          <w:sz w:val="28"/>
          <w:szCs w:val="28"/>
        </w:rPr>
        <w:t xml:space="preserve">10.1 Resolved Decisions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DECISION</w:t>
            </w:r>
          </w:p>
        </w:tc>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RESOLUTION &amp; RATIONALE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Knowledge store backend</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Azure AI Search. Provides hybrid retrieval (BM25 + vector), L2 semantic re-ranker, and native Azure OpenAI integration out of the box. Changing this later would require re-indexing the entire corpus.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One index vs. three databases</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One index (adaptation-passages) with validation_status as a filterable field. Eliminates sync problems. Output engines filter on status — raw/rejected passages are invisible without any application-level logic.</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Taxonomy approach</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Seeded hybrid: seed layer from regulatory/scientific frameworks; extension layer from data-driven evolution with mandatory seed_mapping back to parent. Not purely top-down (misses nuances) and not purely bottom-up (loses interoperability).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Embedding model</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text-embedding-3-large (3072 dims). Significantly outperforms ada-002. Decision made at index creation — cannot be changed without re-embedding entire corpus. Set correctly from day one.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LLM allocation</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GPT-4o for output synthesis; GPT-4o-mini for Stage B classification. Cost-quality balance: nuance matters for client outputs; classification is a structured task where mini performs acceptably.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Validation interface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Streamlit (Option C from Methodology v2). Python-native, connects directly to knowledge_store.py interface, deployable to Azure App Service. Fastest path to production-ready human review.</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 pattern scope</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Seven adapters, not three. The v2 Five-Layer Search Architecture maps directly to adapters: Layer 1a/1b (Google CSE + Exa), Layer 2 (structured APIs), Layer 3 (academic), Layer 4 (targeted crawls), Layer 5 (RSS/news). Conflating these creates scheduling and rate-limit management problems.</w:t>
            </w:r>
          </w:p>
        </w:tc>
      </w:tr>
    </w:tbl>
    <w:p>
      <w:pPr>
        <w:spacing w:before="120" w:after="0"/>
      </w:pPr>
    </w:p>
    <w:p>
      <w:pPr>
        <w:pStyle w:val="Heading2"/>
        <w:spacing w:before="280" w:after="120"/>
      </w:pPr>
      <w:r>
        <w:rPr>
          <w:rFonts w:ascii="Arial" w:cs="Arial" w:eastAsia="Arial" w:hAnsi="Arial"/>
          <w:b/>
          <w:bCs/>
          <w:color w:val="2E6DA4"/>
          <w:sz w:val="28"/>
          <w:szCs w:val="28"/>
        </w:rPr>
        <w:t xml:space="preserve">10.2 Open Decisions (Resolve Before Phase Start)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DECISION</w:t>
            </w:r>
          </w:p>
        </w:tc>
        <w:tc>
          <w:tcPr>
            <w:tcW w:type="dxa" w:w="756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OPTIONS &amp; RECOMMENDATION</w:t>
            </w:r>
          </w:p>
        </w:tc>
      </w:tr>
      <w:tr>
        <w:tc>
          <w:tcPr>
            <w:tcW w:type="dxa" w:w="1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Newsletter trigger</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Manual run (simple) vs. GitHub Actions cron (automated, cloud-native). Recommendation: start manual in Phase 3 testing; move to cron after first successful output cycle. Cron is the Phase 3 production target.</w:t>
            </w:r>
          </w:p>
        </w:tc>
      </w:tr>
      <w:tr>
        <w:tc>
          <w:tcPr>
            <w:tcW w:type="dxa" w:w="1800"/>
            <w:gridSpan w:val="1"/>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Multi-language scope</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English only (simple) vs. en + fr + es at launch (covers Danone, Pernod Ricard). Recommendation: en + fr at Phase 2 launch; add es in Phase 2 patch. Language detection in corporate_pdf.py adapter. Extraction via GPT-4o (multilingual capable).</w:t>
            </w:r>
          </w:p>
        </w:tc>
      </w:tr>
      <w:tr>
        <w:tc>
          <w:tcPr>
            <w:tcW w:type="dxa" w:w="1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Output format</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Markdown only vs. Markdown + HTML + PDF. Recommendation: Markdown + HTML from Phase 3 launch (Jinja2 handles both). PDF export via weasyprint — add in Phase 3 patch.</w:t>
            </w:r>
          </w:p>
        </w:tc>
      </w:tr>
      <w:tr>
        <w:tc>
          <w:tcPr>
            <w:tcW w:type="dxa" w:w="1800"/>
            <w:gridSpan w:val="1"/>
            <w:tcBorders>
              <w:top w:val="single" w:color="C5D5E8" w:sz="1"/>
              <w:left w:val="single" w:color="C5D5E8" w:sz="1"/>
              <w:bottom w:val="single" w:color="C5D5E8" w:sz="1"/>
              <w:right w:val="single" w:color="C5D5E8" w:sz="1"/>
            </w:tcBorders>
            <w:shd w:fill="FDF3E0"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ESRS Omnibus handling</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Hard-code current ESRS data point references vs. abstract via taxonomy seed_mapping only. Recommendation: abstract via seed_mapping. Revised ESRS due Q2 2026 — do not hard-code data point IDs that will change.</w:t>
            </w:r>
          </w:p>
        </w:tc>
      </w:tr>
      <w:tr>
        <w:tc>
          <w:tcPr>
            <w:tcW w:type="dxa" w:w="180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Search_and_download_tool merge</w:t>
            </w:r>
          </w:p>
        </w:tc>
        <w:tc>
          <w:tcPr>
            <w:tcW w:type="dxa" w:w="756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Full code merge into google_cse.py adapter vs. subprocess call to existing tool. Recommendation: inspect the tool's interface in Phase 0, then decide. If interface is clean, subprocess call is faster; if messy, full merge into adapter is cleaner long-term.</w:t>
            </w:r>
          </w:p>
        </w:tc>
      </w:tr>
    </w:tbl>
    <w:p>
      <w:r>
        <w:br w:type="page"/>
      </w:r>
    </w:p>
    <w:p>
      <w:pPr>
        <w:pStyle w:val="Heading1"/>
        <w:spacing w:before="360" w:after="160"/>
      </w:pPr>
      <w:r>
        <w:rPr>
          <w:rFonts w:ascii="Arial" w:cs="Arial" w:eastAsia="Arial" w:hAnsi="Arial"/>
          <w:b/>
          <w:bCs/>
          <w:color w:val="1B3A5C"/>
          <w:sz w:val="36"/>
          <w:szCs w:val="36"/>
        </w:rPr>
        <w:t xml:space="preserve">11. Target Repository Structure</w:t>
      </w:r>
    </w:p>
    <w:p>
      <w:pPr>
        <w:pBdr>
          <w:bottom w:val="single" w:color="2E6DA4" w:sz="6"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PATH</w:t>
            </w:r>
          </w:p>
        </w:tc>
        <w:tc>
          <w:tcPr>
            <w:tcW w:type="dxa" w:w="4680"/>
            <w:gridSpan w:val="1"/>
            <w:tcBorders>
              <w:top w:val="single" w:color="C5D5E8" w:sz="1"/>
              <w:left w:val="single" w:color="C5D5E8" w:sz="1"/>
              <w:bottom w:val="single" w:color="C5D5E8" w:sz="1"/>
              <w:right w:val="single" w:color="C5D5E8"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PURPOSE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taxonomy.yaml</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Single source of truth for taxonomy. Seed layer + extension layer.</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sources.yaml</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Source registry: URL, adapter, cadence, sector relevance.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ingest.py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Unified ingestion entry point. Adapter discovery + orchestration.</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adapters/base.py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Abstract adapter interface. All adapters inherit from this.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adapters/corporate_pdf.py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Corporate PDF ingestion. Wraps current indexing.py.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adapters/google_cse.py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Google CSE + Search_and_download_tool merge.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adapters/structured_api.py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GCF, OECD, World Bank, UNFCCC APIs.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adapters/academic.py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Semantic Scholar + OpenAlex.</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adapters/playwright_scraper.py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Targeted site crawls.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adapters/rss_monitor.py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RSS + Google News event monitoring.</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adapters/exa_search.py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Exa.ai neural similarity search.</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schemas/document.py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Document dataclass — common schema from all adapters.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schemas/passage.py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ClassifiedPassage dataclass — post-classification schema.</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schemas/validation.py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ValidationStatus + ReviewPriority enums.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knowledge_store.py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Azure AI Search abstraction layer. All CRUD + query operations.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extractor.py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Stage A (collect) + Stage B (classify). Calls taxonomy.py.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taxonomy.py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Loads taxonomy.yaml. Validates classifications. Evolution tracking.</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transformer.py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Simplified. Writes from classified knowledge store only.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prompts/collect_v{N}.txt</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Versioned Stage A extraction prompts.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prompts/classify_v{N}.txt</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Versioned Stage B classification prompts.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prompts/examples/{category}/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Curated few-shot examples per taxonomy category.</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validation/app.py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Streamlit validation interface. Deploy to Azure App Service.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outputs/newsletter.py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Newsletter generation engine.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outputs/sector_brief.py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Sector brief generation engine.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outputs/company_assessment.py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D1–D8 company scorecard engine.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outputs/citations.py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Citation generation — traces claims to passages + sources.</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outputs/templates/</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Jinja2 templates for each output type.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eval/test_set.json</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20 known-answer Q&amp;A pairs per document type.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eval/run_eval.py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Evaluation harness. Tracks recall, accuracy, hallucination rate.</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metrics/dashboard.py</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Streamlit quality metrics dashboard.</w:t>
            </w:r>
          </w:p>
        </w:tc>
      </w:tr>
      <w:tr>
        <w:tc>
          <w:tcPr>
            <w:tcW w:type="dxa" w:w="4680"/>
            <w:gridSpan w:val="1"/>
            <w:tcBorders>
              <w:top w:val="single" w:color="C5D5E8" w:sz="1"/>
              <w:left w:val="single" w:color="C5D5E8" w:sz="1"/>
              <w:bottom w:val="single" w:color="C5D5E8" w:sz="1"/>
              <w:right w:val="single" w:color="C5D5E8"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.github/workflows/ingest.yml</w:t>
            </w:r>
          </w:p>
        </w:tc>
        <w:tc>
          <w:tcPr>
            <w:tcW w:type="dxa" w:w="4680"/>
            <w:gridSpan w:val="1"/>
            <w:tcBorders>
              <w:top w:val="single" w:color="C5D5E8" w:sz="1"/>
              <w:left w:val="single" w:color="C5D5E8" w:sz="1"/>
              <w:bottom w:val="single" w:color="C5D5E8" w:sz="1"/>
              <w:right w:val="single" w:color="C5D5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GitHub Actions cron for scheduled ingestion (Phase 2).</w:t>
            </w:r>
          </w:p>
        </w:tc>
      </w:tr>
    </w:tbl>
    <w:p>
      <w:pPr>
        <w:spacing w:before="160" w:after="0"/>
      </w:pPr>
    </w:p>
    <w:p>
      <w:pPr>
        <w:pStyle w:val="Heading2"/>
        <w:spacing w:before="280" w:after="120"/>
      </w:pPr>
      <w:r>
        <w:rPr>
          <w:rFonts w:ascii="Arial" w:cs="Arial" w:eastAsia="Arial" w:hAnsi="Arial"/>
          <w:b/>
          <w:bCs/>
          <w:color w:val="2E6DA4"/>
          <w:sz w:val="28"/>
          <w:szCs w:val="28"/>
        </w:rPr>
        <w:t xml:space="preserve">11.1 What Goes to Claude Code</w:t>
      </w:r>
    </w:p>
    <w:p>
      <w:pPr>
        <w:spacing w:before="80" w:after="80"/>
      </w:pPr>
      <w:r>
        <w:rPr>
          <w:rFonts w:ascii="Arial" w:cs="Arial" w:eastAsia="Arial" w:hAnsi="Arial"/>
          <w:b w:val="false"/>
          <w:bCs w:val="false"/>
          <w:i w:val="false"/>
          <w:iCs w:val="false"/>
          <w:color w:val="000000"/>
          <w:sz w:val="22"/>
          <w:szCs w:val="22"/>
        </w:rPr>
        <w:t xml:space="preserve">All files in the repository structure above are implemented by Claude Code. This design document governs intent. When passing to Claude Code, provide: (1) this document, (2) taxonomy.yaml, (3) the specific file to implement, and (4) the interface contract that file must satisfy (function signatures, inputs, outputs). Claude Code should not make architecture decisions — those are resolved here first.</w:t>
      </w:r>
    </w:p>
    <w:p>
      <w:pPr>
        <w:spacing w:before="200" w:after="0"/>
      </w:pPr>
    </w:p>
    <w:p>
      <w:pPr>
        <w:pBdr>
          <w:bottom w:val="single" w:color="0F7B6C" w:sz="6" w:space="1"/>
        </w:pBdr>
        <w:spacing w:before="120" w:after="120"/>
      </w:pPr>
    </w:p>
    <w:p>
      <w:pPr>
        <w:spacing w:before="80" w:after="0"/>
        <w:jc w:val="center"/>
      </w:pPr>
      <w:r>
        <w:rPr>
          <w:rFonts w:ascii="Arial" w:cs="Arial" w:eastAsia="Arial" w:hAnsi="Arial"/>
          <w:i/>
          <w:iCs/>
          <w:color w:val="4A5568"/>
          <w:sz w:val="18"/>
          <w:szCs w:val="18"/>
        </w:rPr>
        <w:t xml:space="preserve">Adaptation Intelligence Platform  ·  Master Plan v1.0  ·  March 2026  ·  Design: Claude (Anthropic)  ·  Implementation: Claude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7B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2026-03-26T17:34:02.166Z</dcterms:created>
  <dcterms:modified xsi:type="dcterms:W3CDTF">2026-03-26T17:34:02.166Z</dcterms:modified>
</cp:coreProperties>
</file>

<file path=docProps/custom.xml><?xml version="1.0" encoding="utf-8"?>
<Properties xmlns="http://schemas.openxmlformats.org/officeDocument/2006/custom-properties" xmlns:vt="http://schemas.openxmlformats.org/officeDocument/2006/docPropsVTypes"/>
</file>