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MoneyTrace Executive Dashboard Report</w:t>
      </w:r>
    </w:p>
    <w:p>
      <w:r>
        <w:t>Generated: 2026-08-16 17:57 UTC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Total Transactions Processed</w:t>
            </w:r>
          </w:p>
        </w:tc>
        <w:tc>
          <w:tcPr>
            <w:tcW w:type="dxa" w:w="4320"/>
          </w:tcPr>
          <w:p>
            <w:r>
              <w:t>5,228 (INR 140,762,158.47)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Fraud Alerts / Critical Alerts</w:t>
            </w:r>
          </w:p>
        </w:tc>
        <w:tc>
          <w:tcPr>
            <w:tcW w:type="dxa" w:w="4320"/>
          </w:tcPr>
          <w:p>
            <w:r>
              <w:t>140 / 80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Open / Recovered Cases</w:t>
            </w:r>
          </w:p>
        </w:tc>
        <w:tc>
          <w:tcPr>
            <w:tcW w:type="dxa" w:w="4320"/>
          </w:tcPr>
          <w:p>
            <w:r>
              <w:t>63 / 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Money At Risk / Recovered</w:t>
            </w:r>
          </w:p>
        </w:tc>
        <w:tc>
          <w:tcPr>
            <w:tcW w:type="dxa" w:w="4320"/>
          </w:tcPr>
          <w:p>
            <w:r>
              <w:t>INR 10,595,027.00 / INR 1,915,013.00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