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Executive Dashboard Report</w:t>
      </w:r>
    </w:p>
    <w:p>
      <w:r>
        <w:t>Generated: 2026-08-21 15:08 UTC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Transactions Processed</w:t>
            </w:r>
          </w:p>
        </w:tc>
        <w:tc>
          <w:tcPr>
            <w:tcW w:type="dxa" w:w="4320"/>
          </w:tcPr>
          <w:p>
            <w:r>
              <w:t>28 (INR 1,687,000.00)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Alerts / Critical Alerts</w:t>
            </w:r>
          </w:p>
        </w:tc>
        <w:tc>
          <w:tcPr>
            <w:tcW w:type="dxa" w:w="4320"/>
          </w:tcPr>
          <w:p>
            <w:r>
              <w:t>140 / 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 / Recovered Cases</w:t>
            </w:r>
          </w:p>
        </w:tc>
        <w:tc>
          <w:tcPr>
            <w:tcW w:type="dxa" w:w="4320"/>
          </w:tcPr>
          <w:p>
            <w:r>
              <w:t>63 /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Money At Risk / Recovered</w:t>
            </w:r>
          </w:p>
        </w:tc>
        <w:tc>
          <w:tcPr>
            <w:tcW w:type="dxa" w:w="4320"/>
          </w:tcPr>
          <w:p>
            <w:r>
              <w:t>INR 10,595,027.00 / INR 1,915,013.00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