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Executive Dashboard Report</w:t>
      </w:r>
    </w:p>
    <w:p>
      <w:r>
        <w:t>Generated: 2026-10-10 18:07 UTC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Transactions Processed</w:t>
            </w:r>
          </w:p>
        </w:tc>
        <w:tc>
          <w:tcPr>
            <w:tcW w:type="dxa" w:w="4320"/>
          </w:tcPr>
          <w:p>
            <w:r>
              <w:t>5,246 (INR 144,312,142.70)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Alerts / Critical Alerts</w:t>
            </w:r>
          </w:p>
        </w:tc>
        <w:tc>
          <w:tcPr>
            <w:tcW w:type="dxa" w:w="4320"/>
          </w:tcPr>
          <w:p>
            <w:r>
              <w:t>271 / 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 / Recovered Cases</w:t>
            </w:r>
          </w:p>
        </w:tc>
        <w:tc>
          <w:tcPr>
            <w:tcW w:type="dxa" w:w="4320"/>
          </w:tcPr>
          <w:p>
            <w:r>
              <w:t>240 /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Money At Risk / Recovered</w:t>
            </w:r>
          </w:p>
        </w:tc>
        <w:tc>
          <w:tcPr>
            <w:tcW w:type="dxa" w:w="4320"/>
          </w:tcPr>
          <w:p>
            <w:r>
              <w:t>INR 28,930,521.00 / INR 3,820,237.00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