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MoneyTrace Forensic Investigation Report</w:t>
      </w:r>
    </w:p>
    <w:p>
      <w:r>
        <w:rPr>
          <w:color w:val="1E3A8A"/>
        </w:rPr>
        <w:t>Case Identifier: REC202608168920 | Generated: 2026-10-10 18:07 UTC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 Identifier</w:t>
            </w:r>
          </w:p>
        </w:tc>
        <w:tc>
          <w:tcPr>
            <w:tcW w:type="dxa" w:w="4320"/>
          </w:tcPr>
          <w:p>
            <w:r>
              <w:t>REC202608168920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Alert ID / Transaction ID</w:t>
            </w:r>
          </w:p>
        </w:tc>
        <w:tc>
          <w:tcPr>
            <w:tcW w:type="dxa" w:w="4320"/>
          </w:tcPr>
          <w:p>
            <w:r>
              <w:t>ALT20260816051148545 / TXN_LARGE_1699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Victim Account -&gt; Current Holder</w:t>
            </w:r>
          </w:p>
        </w:tc>
        <w:tc>
          <w:tcPr>
            <w:tcW w:type="dxa" w:w="4320"/>
          </w:tcPr>
          <w:p>
            <w:r>
              <w:t>ACC16314613 -&gt; ACC50081547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Fraud Typology &amp; Severity</w:t>
            </w:r>
          </w:p>
        </w:tc>
        <w:tc>
          <w:tcPr>
            <w:tcW w:type="dxa" w:w="4320"/>
          </w:tcPr>
          <w:p>
            <w:r>
              <w:t>Large Transaction, New Account Activity (MEDIUM, Score: 50)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Amount at Risk</w:t>
            </w:r>
          </w:p>
        </w:tc>
        <w:tc>
          <w:tcPr>
            <w:tcW w:type="dxa" w:w="4320"/>
          </w:tcPr>
          <w:p>
            <w:r>
              <w:t>INR 65,000.00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Recovery Feasibility</w:t>
            </w:r>
          </w:p>
        </w:tc>
        <w:tc>
          <w:tcPr>
            <w:tcW w:type="dxa" w:w="4320"/>
          </w:tcPr>
          <w:p>
            <w:r>
              <w:t>LOW (Score: 20/100)</w:t>
            </w:r>
          </w:p>
        </w:tc>
      </w:tr>
    </w:tbl>
    <w:p>
      <w:pPr>
        <w:pStyle w:val="Heading1"/>
      </w:pPr>
      <w:r>
        <w:t>1. Money Flow Trail</w:t>
      </w:r>
    </w:p>
    <w:p>
      <w:r>
        <w:t>Origin Node (Victim): ACC16314613</w:t>
      </w:r>
    </w:p>
    <w:p>
      <w:r>
        <w:t xml:space="preserve">  └── Hop 1: ACC43249524</w:t>
      </w:r>
    </w:p>
    <w:p>
      <w:r>
        <w:t xml:space="preserve">  └── Hop 2: ACC1012</w:t>
      </w:r>
    </w:p>
    <w:p>
      <w:r>
        <w:t xml:space="preserve">  └── Hop 3: ACC74473089</w:t>
      </w:r>
    </w:p>
    <w:p>
      <w:r>
        <w:t xml:space="preserve">  └── Hop 4: ACC10897161</w:t>
      </w:r>
    </w:p>
    <w:p>
      <w:r>
        <w:t xml:space="preserve">  └── Hop 5: ACC1020</w:t>
      </w:r>
    </w:p>
    <w:p>
      <w:r>
        <w:t xml:space="preserve">  └── Hop 6: ACC92107699</w:t>
      </w:r>
    </w:p>
    <w:p>
      <w:r>
        <w:t xml:space="preserve">  └── Hop 7: ACC528659</w:t>
      </w:r>
    </w:p>
    <w:p>
      <w:r>
        <w:t xml:space="preserve">  └── Hop 8: ACC1014</w:t>
      </w:r>
    </w:p>
    <w:p>
      <w:r>
        <w:t xml:space="preserve">  └── Hop 9: ACC91181015</w:t>
      </w:r>
    </w:p>
    <w:p>
      <w:r>
        <w:t xml:space="preserve">  └── Hop 10: ACC50081547</w:t>
      </w:r>
    </w:p>
    <w:p>
      <w:pPr>
        <w:pStyle w:val="Heading1"/>
      </w:pPr>
      <w:r>
        <w:t>2. Action Directive</w:t>
      </w:r>
    </w:p>
    <w:p>
      <w:r>
        <w:t>Directive: Escalate to law enforcement and continue tracing</w:t>
      </w:r>
    </w:p>
    <w:p>
      <w:r>
        <w:t>Legal Reference: Section 91 CrPC Lien Requisition &amp; FIU-IND STR Filing.</w:t>
      </w:r>
    </w:p>
    <w:p>
      <w:pPr>
        <w:pStyle w:val="Heading1"/>
      </w:pPr>
      <w:r>
        <w:t>3. Recovery Intelligence Chart</w:t>
      </w:r>
    </w:p>
    <w:p>
      <w:r>
        <w:drawing>
          <wp:inline xmlns:a="http://schemas.openxmlformats.org/drawingml/2006/main" xmlns:pic="http://schemas.openxmlformats.org/drawingml/2006/picture">
            <wp:extent cx="4114800" cy="2858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_prob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580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