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Executive Dashboard Report</w:t>
      </w:r>
    </w:p>
    <w:p>
      <w:r>
        <w:t>Generated: 2026-08-16 07:46 UTC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Transactions Processed</w:t>
            </w:r>
          </w:p>
        </w:tc>
        <w:tc>
          <w:tcPr>
            <w:tcW w:type="dxa" w:w="4320"/>
          </w:tcPr>
          <w:p>
            <w:r>
              <w:t>5,228 (INR 140,762,158.47)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Alerts / Critical Alerts</w:t>
            </w:r>
          </w:p>
        </w:tc>
        <w:tc>
          <w:tcPr>
            <w:tcW w:type="dxa" w:w="4320"/>
          </w:tcPr>
          <w:p>
            <w:r>
              <w:t>135 / 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 / Recovered Cases</w:t>
            </w:r>
          </w:p>
        </w:tc>
        <w:tc>
          <w:tcPr>
            <w:tcW w:type="dxa" w:w="4320"/>
          </w:tcPr>
          <w:p>
            <w:r>
              <w:t>63 /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Money At Risk / Recovered</w:t>
            </w:r>
          </w:p>
        </w:tc>
        <w:tc>
          <w:tcPr>
            <w:tcW w:type="dxa" w:w="4320"/>
          </w:tcPr>
          <w:p>
            <w:r>
              <w:t>INR 10,576,027.00 / INR 1,915,013.00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