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Forensic Investigation Report</w:t>
      </w:r>
    </w:p>
    <w:p>
      <w:r>
        <w:rPr>
          <w:color w:val="1E3A8A"/>
        </w:rPr>
        <w:t>Case Identifier: REC_REP_TEST | Generated: 2026-10-10 16:24 UTC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 Identifier</w:t>
            </w:r>
          </w:p>
        </w:tc>
        <w:tc>
          <w:tcPr>
            <w:tcW w:type="dxa" w:w="4320"/>
          </w:tcPr>
          <w:p>
            <w:r>
              <w:t>REC_REP_TEST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 ID / Transaction ID</w:t>
            </w:r>
          </w:p>
        </w:tc>
        <w:tc>
          <w:tcPr>
            <w:tcW w:type="dxa" w:w="4320"/>
          </w:tcPr>
          <w:p>
            <w:r>
              <w:t>ALT_REP_TEST / TXN_REP_TEST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Victim Account -&gt; Current Holder</w:t>
            </w:r>
          </w:p>
        </w:tc>
        <w:tc>
          <w:tcPr>
            <w:tcW w:type="dxa" w:w="4320"/>
          </w:tcPr>
          <w:p>
            <w:r>
              <w:t>ACC_R1 -&gt; ACC_R2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Typology &amp; Severity</w:t>
            </w:r>
          </w:p>
        </w:tc>
        <w:tc>
          <w:tcPr>
            <w:tcW w:type="dxa" w:w="4320"/>
          </w:tcPr>
          <w:p>
            <w:r>
              <w:t>Large Transaction (CRITICAL, Score: 88)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Amount at Risk</w:t>
            </w:r>
          </w:p>
        </w:tc>
        <w:tc>
          <w:tcPr>
            <w:tcW w:type="dxa" w:w="4320"/>
          </w:tcPr>
          <w:p>
            <w:r>
              <w:t>INR 75,000.00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Feasibility</w:t>
            </w:r>
          </w:p>
        </w:tc>
        <w:tc>
          <w:tcPr>
            <w:tcW w:type="dxa" w:w="4320"/>
          </w:tcPr>
          <w:p>
            <w:r>
              <w:t>HIGH (Score: 82/100)</w:t>
            </w:r>
          </w:p>
        </w:tc>
      </w:tr>
    </w:tbl>
    <w:p>
      <w:pPr>
        <w:pStyle w:val="Heading1"/>
      </w:pPr>
      <w:r>
        <w:t>1. Money Flow Trail</w:t>
      </w:r>
    </w:p>
    <w:p>
      <w:r>
        <w:t>Origin Node (Victim): ACC_R1</w:t>
      </w:r>
    </w:p>
    <w:p>
      <w:r>
        <w:t xml:space="preserve">  └── Hop 1: ACC_R2</w:t>
      </w:r>
    </w:p>
    <w:p>
      <w:pPr>
        <w:pStyle w:val="Heading1"/>
      </w:pPr>
      <w:r>
        <w:t>2. Action Directive</w:t>
      </w:r>
    </w:p>
    <w:p>
      <w:r>
        <w:t>Directive: Freeze destination account immediately</w:t>
      </w:r>
    </w:p>
    <w:p>
      <w:r>
        <w:t>Legal Reference: Section 91 CrPC Lien Requisition &amp; FIU-IND STR Filing.</w:t>
      </w:r>
    </w:p>
    <w:p>
      <w:pPr>
        <w:pStyle w:val="Heading1"/>
      </w:pPr>
      <w:r>
        <w:t>3. Recovery Intelligence Chart</w:t>
      </w:r>
    </w:p>
    <w:p>
      <w:r>
        <w:drawing>
          <wp:inline xmlns:a="http://schemas.openxmlformats.org/drawingml/2006/main" xmlns:pic="http://schemas.openxmlformats.org/drawingml/2006/picture">
            <wp:extent cx="4114800" cy="2489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prob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98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