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서울올림픽파크텔 인력관리시스템 웹 취약점 진단 보고서</w:t>
      </w:r>
    </w:p>
    <w:p>
      <w:r>
        <w:t>작성일: 2026-05-02</w:t>
      </w:r>
    </w:p>
    <w:p>
      <w:r>
        <w:t>작성 방식: 단독 수행(화이트박스 기반 정적/동적 재검증)</w:t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1.1. 배경 및 목적</w:t>
      </w:r>
    </w:p>
    <w:p>
      <w:r>
        <w:t>주요정보통신기반시설 웹 애플리케이션 가이드라인에 따라 취약점 진단 및 시큐어코딩 반영 상태를 검증하였다.</w:t>
      </w:r>
    </w:p>
    <w:p>
      <w:pPr>
        <w:pStyle w:val="Heading2"/>
      </w:pPr>
      <w:r>
        <w:t>1.2. 점검 수행 범위</w:t>
      </w:r>
    </w:p>
    <w:p>
      <w:r>
        <w:t>대상 URL: https://parktel-frontend-resu.onrender.com / https://parktel-backend-resu.onrender.com, 소스: atfield1988/parktel_CII(main)</w:t>
      </w:r>
    </w:p>
    <w:p>
      <w:pPr>
        <w:pStyle w:val="Heading2"/>
      </w:pPr>
      <w:r>
        <w:t>1.3. 수행절차</w:t>
      </w:r>
    </w:p>
    <w:p>
      <w:r>
        <w:t>착수(STEP1) → 코드분석(STEP2) → 매핑(STEP3) → 진단(STEP4) → 개선계획(STEP5) → 재진단(STEP6)</w:t>
      </w:r>
    </w:p>
    <w:p>
      <w:pPr>
        <w:pStyle w:val="Heading2"/>
      </w:pPr>
      <w:r>
        <w:t>1.4. 현황분석</w:t>
      </w:r>
    </w:p>
    <w:p>
      <w:r>
        <w:t>기존 render-web 대비 parktel_CII에서 인증/세션/노출/정책 제어가 보강됨을 확인하였다.</w:t>
      </w:r>
    </w:p>
    <w:p>
      <w:pPr>
        <w:pStyle w:val="Heading2"/>
      </w:pPr>
      <w:r>
        <w:t>1.5. 점검 일정</w:t>
      </w:r>
    </w:p>
    <w:p>
      <w:r>
        <w:t>2026-04-27 ~ 2026-05-02</w:t>
      </w:r>
    </w:p>
    <w:p>
      <w:pPr>
        <w:pStyle w:val="Heading2"/>
      </w:pPr>
      <w:r>
        <w:t>1.6. 점검 인력</w:t>
      </w:r>
    </w:p>
    <w:p>
      <w:r>
        <w:t>단독 수행</w:t>
      </w:r>
    </w:p>
    <w:p>
      <w:pPr>
        <w:pStyle w:val="Heading2"/>
      </w:pPr>
      <w:r>
        <w:t>1.7. 진단방법</w:t>
      </w:r>
    </w:p>
    <w:p>
      <w:r>
        <w:t>화이트박스 정적코드 점검 + 운영 URL 동적 검증(curl/HTTP 응답 분석)</w:t>
      </w:r>
    </w:p>
    <w:p>
      <w:pPr>
        <w:pStyle w:val="Heading2"/>
      </w:pPr>
      <w:r>
        <w:t>1.8. 진단항목</w:t>
      </w:r>
    </w:p>
    <w:p>
      <w:r>
        <w:t>총 21개 항목(CI~WM)</w:t>
      </w:r>
    </w:p>
    <w:p>
      <w:pPr>
        <w:pStyle w:val="Heading1"/>
      </w:pPr>
      <w:r>
        <w:t>2. 위험 관리 및 평가 방법론</w:t>
      </w:r>
    </w:p>
    <w:p>
      <w:pPr>
        <w:pStyle w:val="Heading2"/>
      </w:pPr>
      <w:r>
        <w:t>2.1. 위험 평가 모델 개요</w:t>
      </w:r>
    </w:p>
    <w:p>
      <w:r>
        <w:t>[붙임4] 취약점 분석·평가 점수 산출식 예시(고시 제2025-62호) 기반으로 기술적 취약점 점수를 산출하였다.</w:t>
      </w:r>
    </w:p>
    <w:p>
      <w:pPr>
        <w:pStyle w:val="Heading2"/>
      </w:pPr>
      <w:r>
        <w:t>2.2. 자산 중요도 평가 기준</w:t>
      </w:r>
    </w:p>
    <w:p>
      <w:r>
        <w:t>본 보고서는 웹 애플리케이션 단일 자산군 기준으로 평가하였다.</w:t>
      </w:r>
    </w:p>
    <w:p>
      <w:pPr>
        <w:pStyle w:val="Heading2"/>
      </w:pPr>
      <w:r>
        <w:t>2.3. 기술적 취약점 심각도 기준</w:t>
      </w:r>
    </w:p>
    <w:p>
      <w:r>
        <w:t>모든 항목 중요도는 상(10점)으로 적용. 진단결과값: 취약 0점 / 부분 5점 / 양호 10점.</w:t>
      </w:r>
    </w:p>
    <w:p>
      <w:pPr>
        <w:pStyle w:val="Heading2"/>
      </w:pPr>
      <w:r>
        <w:t>2.4. 위험도 산출 및 조치 기준</w:t>
      </w:r>
    </w:p>
    <w:p>
      <w:r>
        <w:t>N/A는 분모/분자에서 제외하고 적용 항목만으로 산정하였다.</w:t>
      </w:r>
    </w:p>
    <w:p>
      <w:pPr>
        <w:pStyle w:val="Heading1"/>
      </w:pPr>
      <w:r>
        <w:t>3. 기술적 취약점 진단 결과</w:t>
      </w:r>
    </w:p>
    <w:p>
      <w:pPr>
        <w:pStyle w:val="Heading2"/>
      </w:pPr>
      <w:r>
        <w:t>3.1. 진단 결과 요약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건수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  <w:tc>
          <w:tcPr>
            <w:tcW w:type="dxa" w:w="2160"/>
          </w:tcPr>
          <w:p>
            <w:r>
              <w:t>출처</w:t>
            </w:r>
          </w:p>
        </w:tc>
      </w:tr>
      <w:tr>
        <w:tc>
          <w:tcPr>
            <w:tcW w:type="dxa" w:w="2160"/>
          </w:tcPr>
          <w:p>
            <w:r>
              <w:t>양호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개선 완료 또는 유지</w:t>
            </w:r>
          </w:p>
        </w:tc>
        <w:tc>
          <w:tcPr>
            <w:tcW w:type="dxa" w:w="2160"/>
          </w:tcPr>
          <w:p>
            <w:r>
              <w:t>STEP6 최종</w:t>
            </w:r>
          </w:p>
        </w:tc>
      </w:tr>
      <w:tr>
        <w:tc>
          <w:tcPr>
            <w:tcW w:type="dxa" w:w="2160"/>
          </w:tcPr>
          <w:p>
            <w:r>
              <w:t>부분 양호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추가 보완 필요(IS, CF)</w:t>
            </w:r>
          </w:p>
        </w:tc>
        <w:tc>
          <w:tcPr>
            <w:tcW w:type="dxa" w:w="2160"/>
          </w:tcPr>
          <w:p>
            <w:r>
              <w:t>STEP6 최종</w:t>
            </w:r>
          </w:p>
        </w:tc>
      </w:tr>
      <w:tr>
        <w:tc>
          <w:tcPr>
            <w:tcW w:type="dxa" w:w="2160"/>
          </w:tcPr>
          <w:p>
            <w:r>
              <w:t>취약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STEP6 최종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분모/분자 제외</w:t>
            </w:r>
          </w:p>
        </w:tc>
        <w:tc>
          <w:tcPr>
            <w:tcW w:type="dxa" w:w="2160"/>
          </w:tcPr>
          <w:p>
            <w:r>
              <w:t>STEP4/STEP6</w:t>
            </w:r>
          </w:p>
        </w:tc>
      </w:tr>
    </w:tbl>
    <w:p>
      <w:pPr>
        <w:pStyle w:val="Heading1"/>
      </w:pPr>
      <w:r>
        <w:t>4. 세부 수행내역</w:t>
      </w:r>
    </w:p>
    <w:p>
      <w:pPr>
        <w:pStyle w:val="Heading2"/>
      </w:pPr>
      <w:r>
        <w:t>4.1 코드 인젝션 (Code Injection)</w:t>
      </w:r>
    </w:p>
    <w:p>
      <w:r>
        <w:t>판정: 양호. 관련 근거는 STEP6 결과서 및 코드 증적을 참조한다.</w:t>
      </w:r>
    </w:p>
    <w:p>
      <w:pPr>
        <w:pStyle w:val="Heading2"/>
      </w:pPr>
      <w:r>
        <w:t>4.2 SQL 인젝션 (SQL Injection)</w:t>
      </w:r>
    </w:p>
    <w:p>
      <w:r>
        <w:t>판정: 양호. 관련 근거는 STEP6 결과서 및 코드 증적을 참조한다.</w:t>
      </w:r>
    </w:p>
    <w:p>
      <w:pPr>
        <w:pStyle w:val="Heading2"/>
      </w:pPr>
      <w:r>
        <w:t>4.3 디렉터리 인덱싱</w:t>
      </w:r>
    </w:p>
    <w:p>
      <w:r>
        <w:t>판정: 양호. 관련 근거는 STEP6 결과서 및 코드 증적을 참조한다.</w:t>
      </w:r>
    </w:p>
    <w:p>
      <w:pPr>
        <w:pStyle w:val="Heading2"/>
      </w:pPr>
      <w:r>
        <w:t>4.4 에러 페이지 적용 미흡</w:t>
      </w:r>
    </w:p>
    <w:p>
      <w:r>
        <w:t>판정: 양호. 관련 근거는 STEP6 결과서 및 코드 증적을 참조한다.</w:t>
      </w:r>
    </w:p>
    <w:p>
      <w:pPr>
        <w:pStyle w:val="Heading2"/>
      </w:pPr>
      <w:r>
        <w:t>4.5 정보 누출</w:t>
      </w:r>
    </w:p>
    <w:p>
      <w:r>
        <w:t>판정: 양호. 관련 근거는 STEP6 결과서 및 코드 증적을 참조한다.</w:t>
      </w:r>
    </w:p>
    <w:p>
      <w:pPr>
        <w:pStyle w:val="Heading2"/>
      </w:pPr>
      <w:r>
        <w:t>4.6 크로스사이트 스크립트</w:t>
      </w:r>
    </w:p>
    <w:p>
      <w:r>
        <w:t>판정: 양호. 관련 근거는 STEP6 결과서 및 코드 증적을 참조한다.</w:t>
      </w:r>
    </w:p>
    <w:p>
      <w:pPr>
        <w:pStyle w:val="Heading2"/>
      </w:pPr>
      <w:r>
        <w:t>4.7 크로스사이트 요청 위조(CSRF)</w:t>
      </w:r>
    </w:p>
    <w:p>
      <w:r>
        <w:t>판정: 부분 양호. 관련 근거는 STEP6 결과서 및 코드 증적을 참조한다.</w:t>
      </w:r>
    </w:p>
    <w:p>
      <w:pPr>
        <w:pStyle w:val="Heading2"/>
      </w:pPr>
      <w:r>
        <w:t>4.8 서버사이드 요청 위조(SSRF)</w:t>
      </w:r>
    </w:p>
    <w:p>
      <w:r>
        <w:t>판정: N/A. 관련 근거는 STEP6 결과서 및 코드 증적을 참조한다.</w:t>
      </w:r>
    </w:p>
    <w:p>
      <w:pPr>
        <w:pStyle w:val="Heading2"/>
      </w:pPr>
      <w:r>
        <w:t>4.9 약한 비밀번호 정책</w:t>
      </w:r>
    </w:p>
    <w:p>
      <w:r>
        <w:t>판정: 양호. 관련 근거는 STEP6 결과서 및 코드 증적을 참조한다.</w:t>
      </w:r>
    </w:p>
    <w:p>
      <w:pPr>
        <w:pStyle w:val="Heading2"/>
      </w:pPr>
      <w:r>
        <w:t>4.10 불충분한 인증 절차</w:t>
      </w:r>
    </w:p>
    <w:p>
      <w:r>
        <w:t>판정: 양호. 관련 근거는 STEP6 결과서 및 코드 증적을 참조한다.</w:t>
      </w:r>
    </w:p>
    <w:p>
      <w:pPr>
        <w:pStyle w:val="Heading2"/>
      </w:pPr>
      <w:r>
        <w:t>4.11 불충분한 권한 검증</w:t>
      </w:r>
    </w:p>
    <w:p>
      <w:r>
        <w:t>판정: 양호. 관련 근거는 STEP6 결과서 및 코드 증적을 참조한다.</w:t>
      </w:r>
    </w:p>
    <w:p>
      <w:pPr>
        <w:pStyle w:val="Heading2"/>
      </w:pPr>
      <w:r>
        <w:t>4.12 취약한 비밀번호 복구 절차</w:t>
      </w:r>
    </w:p>
    <w:p>
      <w:r>
        <w:t>판정: N/A. 관련 근거는 STEP6 결과서 및 코드 증적을 참조한다.</w:t>
      </w:r>
    </w:p>
    <w:p>
      <w:pPr>
        <w:pStyle w:val="Heading2"/>
      </w:pPr>
      <w:r>
        <w:t>4.13 프로세스 검증 누락</w:t>
      </w:r>
    </w:p>
    <w:p>
      <w:r>
        <w:t>판정: 양호. 관련 근거는 STEP6 결과서 및 코드 증적을 참조한다.</w:t>
      </w:r>
    </w:p>
    <w:p>
      <w:pPr>
        <w:pStyle w:val="Heading2"/>
      </w:pPr>
      <w:r>
        <w:t>4.14 악성 파일 업로드</w:t>
      </w:r>
    </w:p>
    <w:p>
      <w:r>
        <w:t>판정: N/A. 관련 근거는 STEP6 결과서 및 코드 증적을 참조한다.</w:t>
      </w:r>
    </w:p>
    <w:p>
      <w:pPr>
        <w:pStyle w:val="Heading2"/>
      </w:pPr>
      <w:r>
        <w:t>4.15 파일 다운로드</w:t>
      </w:r>
    </w:p>
    <w:p>
      <w:r>
        <w:t>판정: N/A. 관련 근거는 STEP6 결과서 및 코드 증적을 참조한다.</w:t>
      </w:r>
    </w:p>
    <w:p>
      <w:pPr>
        <w:pStyle w:val="Heading2"/>
      </w:pPr>
      <w:r>
        <w:t>4.16 불충분한 세션 관리</w:t>
      </w:r>
    </w:p>
    <w:p>
      <w:r>
        <w:t>판정: 부분 양호. 관련 근거는 STEP6 결과서 및 코드 증적을 참조한다.</w:t>
      </w:r>
    </w:p>
    <w:p>
      <w:pPr>
        <w:pStyle w:val="Heading2"/>
      </w:pPr>
      <w:r>
        <w:t>4.17 데이터 평문 전송</w:t>
      </w:r>
    </w:p>
    <w:p>
      <w:r>
        <w:t>판정: 양호. 관련 근거는 STEP6 결과서 및 코드 증적을 참조한다.</w:t>
      </w:r>
    </w:p>
    <w:p>
      <w:pPr>
        <w:pStyle w:val="Heading2"/>
      </w:pPr>
      <w:r>
        <w:t>4.18 쿠키 변조</w:t>
      </w:r>
    </w:p>
    <w:p>
      <w:r>
        <w:t>판정: N/A. 관련 근거는 STEP6 결과서 및 코드 증적을 참조한다.</w:t>
      </w:r>
    </w:p>
    <w:p>
      <w:pPr>
        <w:pStyle w:val="Heading2"/>
      </w:pPr>
      <w:r>
        <w:t>4.19 관리자 페이지 노출</w:t>
      </w:r>
    </w:p>
    <w:p>
      <w:r>
        <w:t>판정: 양호. 관련 근거는 STEP6 결과서 및 코드 증적을 참조한다.</w:t>
      </w:r>
    </w:p>
    <w:p>
      <w:pPr>
        <w:pStyle w:val="Heading2"/>
      </w:pPr>
      <w:r>
        <w:t>4.20 자동화 공격</w:t>
      </w:r>
    </w:p>
    <w:p>
      <w:r>
        <w:t>판정: 양호. 관련 근거는 STEP6 결과서 및 코드 증적을 참조한다.</w:t>
      </w:r>
    </w:p>
    <w:p>
      <w:pPr>
        <w:pStyle w:val="Heading2"/>
      </w:pPr>
      <w:r>
        <w:t>4.21 불필요한 Method 악용</w:t>
      </w:r>
    </w:p>
    <w:p>
      <w:r>
        <w:t>판정: 양호. 관련 근거는 STEP6 결과서 및 코드 증적을 참조한다.</w:t>
      </w:r>
    </w:p>
    <w:p>
      <w:pPr>
        <w:pStyle w:val="Heading1"/>
      </w:pPr>
      <w:r>
        <w:t>5. 기술적 취약점 종합 평가 점수</w:t>
      </w:r>
    </w:p>
    <w:p>
      <w:pPr>
        <w:pStyle w:val="Heading2"/>
      </w:pPr>
      <w:r>
        <w:t>5.1. 점수 산출 기준</w:t>
      </w:r>
    </w:p>
    <w:p>
      <w:r>
        <w:t>중요도 상(10점) 기준, 진단결과값: 양호=10, 부분=5, 취약=0. N/A 5개 항목은 분모/분자에서 제외하였다.</w:t>
      </w:r>
    </w:p>
    <w:p>
      <w:pPr>
        <w:pStyle w:val="Heading2"/>
      </w:pPr>
      <w:r>
        <w:t>5.2. 종합 평가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적용 항목 수(기술적)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최대 점수 A</w:t>
            </w:r>
          </w:p>
        </w:tc>
        <w:tc>
          <w:tcPr>
            <w:tcW w:type="dxa" w:w="4320"/>
          </w:tcPr>
          <w:p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획득 점수 B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종합 점수(B/A×100)</w:t>
            </w:r>
          </w:p>
        </w:tc>
        <w:tc>
          <w:tcPr>
            <w:tcW w:type="dxa" w:w="4320"/>
          </w:tcPr>
          <w:p>
            <w:r>
              <w:t>93.75점</w:t>
            </w:r>
          </w:p>
        </w:tc>
      </w:tr>
      <w:tr>
        <w:tc>
          <w:tcPr>
            <w:tcW w:type="dxa" w:w="4320"/>
          </w:tcPr>
          <w:p>
            <w:r>
              <w:t>평가 등급</w:t>
            </w:r>
          </w:p>
        </w:tc>
        <w:tc>
          <w:tcPr>
            <w:tcW w:type="dxa" w:w="4320"/>
          </w:tcPr>
          <w:p>
            <w:r>
              <w:t>우수(개선 반영 완료, 일부 보완 필요)</w:t>
            </w:r>
          </w:p>
        </w:tc>
      </w:tr>
    </w:tbl>
    <w:p>
      <w:pPr>
        <w:pStyle w:val="Heading2"/>
      </w:pPr>
      <w:r>
        <w:t>5.3. 평가 등급 및 개선 목표</w:t>
      </w:r>
    </w:p>
    <w:p>
      <w:r>
        <w:t>현재 종합점수는 93.75점으로 우수 수준이다. 다만 IS(토큰 무효화), CF(동등통제 고도화)는 후속 개선 목표로 유지한다.</w:t>
      </w:r>
    </w:p>
    <w:p>
      <w:pPr>
        <w:pStyle w:val="Heading1"/>
      </w:pPr>
      <w:r>
        <w:t>6. 위험 평가 및 우선 순위 도출</w:t>
      </w:r>
    </w:p>
    <w:p>
      <w:pPr>
        <w:pStyle w:val="Heading2"/>
      </w:pPr>
      <w:r>
        <w:t>6.1. 정량적 위험 평가 결과</w:t>
      </w:r>
    </w:p>
    <w:p>
      <w:r>
        <w:t>최종 운영 검증에서 취약 재발 항목은 확인되지 않았고, 부분 양호 2개 항목(IS, CF)을 잔여 리스크로 도출하였다.</w:t>
      </w:r>
    </w:p>
    <w:p>
      <w:pPr>
        <w:pStyle w:val="Heading2"/>
      </w:pPr>
      <w:r>
        <w:t>6.2. 위험 분석 및 시사점</w:t>
      </w:r>
    </w:p>
    <w:p>
      <w:r>
        <w:t>핵심 노출면(문서노출, CORS 와일드카드, 하드코딩 비밀번호)은 제거되었으며, 운영 안정성 확보를 위해 세션 무효화 정책 추가가 필요하다.</w:t>
      </w:r>
    </w:p>
    <w:p>
      <w:pPr>
        <w:pStyle w:val="Heading1"/>
      </w:pPr>
      <w:r>
        <w:t>7. 보호대책 및 이행 로드맵</w:t>
      </w:r>
    </w:p>
    <w:p>
      <w:pPr>
        <w:pStyle w:val="Heading2"/>
      </w:pPr>
      <w:r>
        <w:t>7.1. 단계별 이행 전략</w:t>
      </w:r>
    </w:p>
    <w:p>
      <w:r>
        <w:t>단기(D+7): JWT denylist/jti 도입, CSRF 동등통제(Origin/Referer + 상호작용 토큰) 추가. 중기(D+30): 인증 이벤트 모니터링 및 이상행위 탐지 룰 고도화.</w:t>
      </w:r>
    </w:p>
    <w:p>
      <w:pPr>
        <w:pStyle w:val="Heading1"/>
      </w:pPr>
      <w:r>
        <w:t>8. 시큐어 코딩 수행 결과</w:t>
      </w:r>
    </w:p>
    <w:p>
      <w:pPr>
        <w:pStyle w:val="Heading2"/>
      </w:pPr>
      <w:r>
        <w:t>8.1 관리 요약</w:t>
      </w:r>
    </w:p>
    <w:p>
      <w:r>
        <w:t>시큐어코딩 적용은 인증/인가/민감정보노출/운영설정 4개 축으로 수행하였고, 운영 URL 검증을 통해 반영 상태를 확인하였다.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코드 위치</w:t>
            </w:r>
          </w:p>
        </w:tc>
        <w:tc>
          <w:tcPr>
            <w:tcW w:type="dxa" w:w="2160"/>
          </w:tcPr>
          <w:p>
            <w:r>
              <w:t>기존 취약점</w:t>
            </w:r>
          </w:p>
        </w:tc>
        <w:tc>
          <w:tcPr>
            <w:tcW w:type="dxa" w:w="2160"/>
          </w:tcPr>
          <w:p>
            <w:r>
              <w:t>개선 후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backend/app/security.py</w:t>
            </w:r>
          </w:p>
        </w:tc>
        <w:tc>
          <w:tcPr>
            <w:tcW w:type="dxa" w:w="2160"/>
          </w:tcPr>
          <w:p>
            <w:r>
              <w:t>SECRET_KEY 기본값 fallback</w:t>
            </w:r>
          </w:p>
        </w:tc>
        <w:tc>
          <w:tcPr>
            <w:tcW w:type="dxa" w:w="2160"/>
          </w:tcPr>
          <w:p>
            <w:r>
              <w:t>SECRET_KEY 미설정 시 실행 차단</w:t>
            </w:r>
          </w:p>
        </w:tc>
        <w:tc>
          <w:tcPr>
            <w:tcW w:type="dxa" w:w="2160"/>
          </w:tcPr>
          <w:p>
            <w:r>
              <w:t>IS</w:t>
            </w:r>
          </w:p>
        </w:tc>
      </w:tr>
      <w:tr>
        <w:tc>
          <w:tcPr>
            <w:tcW w:type="dxa" w:w="2160"/>
          </w:tcPr>
          <w:p>
            <w:r>
              <w:t>backend/app/init_db.py</w:t>
            </w:r>
          </w:p>
        </w:tc>
        <w:tc>
          <w:tcPr>
            <w:tcW w:type="dxa" w:w="2160"/>
          </w:tcPr>
          <w:p>
            <w:r>
              <w:t>초기 계정 비밀번호 하드코딩</w:t>
            </w:r>
          </w:p>
        </w:tc>
        <w:tc>
          <w:tcPr>
            <w:tcW w:type="dxa" w:w="2160"/>
          </w:tcPr>
          <w:p>
            <w:r>
              <w:t>환경변수 기반 초기 비밀번호</w:t>
            </w:r>
          </w:p>
        </w:tc>
        <w:tc>
          <w:tcPr>
            <w:tcW w:type="dxa" w:w="2160"/>
          </w:tcPr>
          <w:p>
            <w:r>
              <w:t>BF</w:t>
            </w:r>
          </w:p>
        </w:tc>
      </w:tr>
      <w:tr>
        <w:tc>
          <w:tcPr>
            <w:tcW w:type="dxa" w:w="2160"/>
          </w:tcPr>
          <w:p>
            <w:r>
              <w:t>backend/app/routers/auth.py</w:t>
            </w:r>
          </w:p>
        </w:tc>
        <w:tc>
          <w:tcPr>
            <w:tcW w:type="dxa" w:w="2160"/>
          </w:tcPr>
          <w:p>
            <w:r>
              <w:t>고정 초기비밀번호/무차별대입 방어 미흡</w:t>
            </w:r>
          </w:p>
        </w:tc>
        <w:tc>
          <w:tcPr>
            <w:tcW w:type="dxa" w:w="2160"/>
          </w:tcPr>
          <w:p>
            <w:r>
              <w:t>사용자 입력 비밀번호 + rate-limit</w:t>
            </w:r>
          </w:p>
        </w:tc>
        <w:tc>
          <w:tcPr>
            <w:tcW w:type="dxa" w:w="2160"/>
          </w:tcPr>
          <w:p>
            <w:r>
              <w:t>BF/AU</w:t>
            </w:r>
          </w:p>
        </w:tc>
      </w:tr>
      <w:tr>
        <w:tc>
          <w:tcPr>
            <w:tcW w:type="dxa" w:w="2160"/>
          </w:tcPr>
          <w:p>
            <w:r>
              <w:t>backend/app/main.py</w:t>
            </w:r>
          </w:p>
        </w:tc>
        <w:tc>
          <w:tcPr>
            <w:tcW w:type="dxa" w:w="2160"/>
          </w:tcPr>
          <w:p>
            <w:r>
              <w:t>docs 노출 및 CORS 광범위 허용</w:t>
            </w:r>
          </w:p>
        </w:tc>
        <w:tc>
          <w:tcPr>
            <w:tcW w:type="dxa" w:w="2160"/>
          </w:tcPr>
          <w:p>
            <w:r>
              <w:t>docs 비활성화 + CORS 제한 + 보안헤더</w:t>
            </w:r>
          </w:p>
        </w:tc>
        <w:tc>
          <w:tcPr>
            <w:tcW w:type="dxa" w:w="2160"/>
          </w:tcPr>
          <w:p>
            <w:r>
              <w:t>AE/CF/WM/SN</w:t>
            </w:r>
          </w:p>
        </w:tc>
      </w:tr>
      <w:tr>
        <w:tc>
          <w:tcPr>
            <w:tcW w:type="dxa" w:w="2160"/>
          </w:tcPr>
          <w:p>
            <w:r>
              <w:t>backend/app/routers/mypage.py</w:t>
            </w:r>
          </w:p>
        </w:tc>
        <w:tc>
          <w:tcPr>
            <w:tcW w:type="dxa" w:w="2160"/>
          </w:tcPr>
          <w:p>
            <w:r>
              <w:t>승인자 정보 과노출</w:t>
            </w:r>
          </w:p>
        </w:tc>
        <w:tc>
          <w:tcPr>
            <w:tcW w:type="dxa" w:w="2160"/>
          </w:tcPr>
          <w:p>
            <w:r>
              <w:t>관리자 권한 및 전화번호 마스킹</w:t>
            </w:r>
          </w:p>
        </w:tc>
        <w:tc>
          <w:tcPr>
            <w:tcW w:type="dxa" w:w="2160"/>
          </w:tcPr>
          <w:p>
            <w:r>
              <w:t>IN/IL</w:t>
            </w:r>
          </w:p>
        </w:tc>
      </w:tr>
      <w:tr>
        <w:tc>
          <w:tcPr>
            <w:tcW w:type="dxa" w:w="2160"/>
          </w:tcPr>
          <w:p>
            <w:r>
              <w:t>backend/app/schemas.py</w:t>
            </w:r>
          </w:p>
        </w:tc>
        <w:tc>
          <w:tcPr>
            <w:tcW w:type="dxa" w:w="2160"/>
          </w:tcPr>
          <w:p>
            <w:r>
              <w:t>비밀번호 강도 검증 미흡</w:t>
            </w:r>
          </w:p>
        </w:tc>
        <w:tc>
          <w:tcPr>
            <w:tcW w:type="dxa" w:w="2160"/>
          </w:tcPr>
          <w:p>
            <w:r>
              <w:t>복잡도 검증 규칙 적용</w:t>
            </w:r>
          </w:p>
        </w:tc>
        <w:tc>
          <w:tcPr>
            <w:tcW w:type="dxa" w:w="2160"/>
          </w:tcPr>
          <w:p>
            <w:r>
              <w:t>BF</w:t>
            </w:r>
          </w:p>
        </w:tc>
      </w:tr>
    </w:tbl>
    <w:p>
      <w:pPr>
        <w:pStyle w:val="Heading2"/>
      </w:pPr>
      <w:r>
        <w:t>8.2 코드 Diff 수준 증적(실제 코드 캡처)</w:t>
      </w:r>
    </w:p>
    <w:p>
      <w:r>
        <w:t>SECRET_KEY 환경변수 필수화 (IS) — backend/app/security.py:1-20</w:t>
      </w:r>
    </w:p>
    <w:p>
      <w:r>
        <w:drawing>
          <wp:inline xmlns:a="http://schemas.openxmlformats.org/drawingml/2006/main" xmlns:pic="http://schemas.openxmlformats.org/drawingml/2006/picture">
            <wp:extent cx="5943600" cy="2632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01_secret_key_requi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초기 계정 비밀번호 하드코딩 제거 (BF) — backend/app/init_db.py:1-49</w:t>
      </w:r>
    </w:p>
    <w:p>
      <w:r>
        <w:drawing>
          <wp:inline xmlns:a="http://schemas.openxmlformats.org/drawingml/2006/main" xmlns:pic="http://schemas.openxmlformats.org/drawingml/2006/picture">
            <wp:extent cx="5943600" cy="5413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02_initdb_env_passw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3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로그인 시도 제한 + 회원가입 비밀번호 입력 사용 (AU/BF) — backend/app/routers/auth.py:16-80</w:t>
      </w:r>
    </w:p>
    <w:p>
      <w:r>
        <w:drawing>
          <wp:inline xmlns:a="http://schemas.openxmlformats.org/drawingml/2006/main" xmlns:pic="http://schemas.openxmlformats.org/drawingml/2006/picture">
            <wp:extent cx="5943600" cy="7195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03_auth_rate_limit_and_register_pass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5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운영 docs 차단 + CORS + 보안헤더 적용 (AE/CF/WM/SN) — backend/app/main.py:14-60</w:t>
      </w:r>
    </w:p>
    <w:p>
      <w:r>
        <w:drawing>
          <wp:inline xmlns:a="http://schemas.openxmlformats.org/drawingml/2006/main" xmlns:pic="http://schemas.openxmlformats.org/drawingml/2006/picture">
            <wp:extent cx="5943600" cy="5370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04_main_docs_cors_hea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관리자 권한 및 전화번호 마스킹 (IN/IL) — backend/app/routers/mypage.py:34-56</w:t>
      </w:r>
    </w:p>
    <w:p>
      <w:r>
        <w:drawing>
          <wp:inline xmlns:a="http://schemas.openxmlformats.org/drawingml/2006/main" xmlns:pic="http://schemas.openxmlformats.org/drawingml/2006/picture">
            <wp:extent cx="5943600" cy="29368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05_mypage_masking_author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비밀번호 강도 정책 검증 (BF) — backend/app/schemas.py:8-20</w:t>
      </w:r>
    </w:p>
    <w:p>
      <w:r>
        <w:drawing>
          <wp:inline xmlns:a="http://schemas.openxmlformats.org/drawingml/2006/main" xmlns:pic="http://schemas.openxmlformats.org/drawingml/2006/picture">
            <wp:extent cx="5943600" cy="19229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06_password_strength_sche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9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