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서울올림픽파크텔 인력관리시스템 웹 취약점 진단 보고서 (One-Page Final)</w:t>
      </w:r>
    </w:p>
    <w:p>
      <w:pPr>
        <w:jc w:val="center"/>
      </w:pPr>
      <w:r>
        <w:t>대상: parktel_CII(main) | URL: parktel-frontend-resu / parktel-backend-resu | 방법: 화이트박스+운영검증 | 작성: 단독 수행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0"/>
        <w:gridCol w:w="5450"/>
      </w:tblGrid>
      <w:tr>
        <w:tc>
          <w:tcPr>
            <w:tcW w:type="dxa" w:w="5450"/>
          </w:tcPr>
          <w:p>
            <w:r>
              <w:t>1) 프로젝트 개요</w:t>
              <w:br/>
              <w:t>- 범위: Web/API, 인증·세션·입력검증·관리자 기능</w:t>
              <w:br/>
              <w:t>- 절차: STEP1~STEP6</w:t>
              <w:br/>
              <w:t>- 진단항목: 21개(CI~WM)</w:t>
            </w:r>
          </w:p>
        </w:tc>
        <w:tc>
          <w:tcPr>
            <w:tcW w:type="dxa" w:w="5450"/>
          </w:tcPr>
          <w:p>
            <w:r>
              <w:t>2) 위험/평가 방법론</w:t>
              <w:br/>
              <w:t>- 기준: 고시 제2025-62호 [붙임4]</w:t>
              <w:br/>
              <w:t>- 중요도: 전 항목 상(10점)</w:t>
              <w:br/>
              <w:t>- 결과값: 양호10/부분5/취약0</w:t>
              <w:br/>
              <w:t>- N/A: 분모·분자 제외</w:t>
            </w:r>
          </w:p>
        </w:tc>
      </w:tr>
      <w:tr>
        <w:tc>
          <w:tcPr>
            <w:tcW w:type="dxa" w:w="5450"/>
          </w:tcPr>
          <w:p>
            <w:r>
              <w:t>3) 기술적 진단 요약</w:t>
              <w:br/>
              <w:t>- 전체 21개, N/A 5개, 적용 16개</w:t>
              <w:br/>
              <w:t>- 양호 14개, 부분양호 2개, 취약 0개</w:t>
              <w:br/>
              <w:t>- 운영 확인: /health 200, /docs·/redoc·/openapi 404</w:t>
            </w:r>
          </w:p>
        </w:tc>
        <w:tc>
          <w:tcPr>
            <w:tcW w:type="dxa" w:w="5450"/>
          </w:tcPr>
          <w:p>
            <w:r>
              <w:t>4) 21개 세부 수행내역 결론</w:t>
              <w:br/>
              <w:t>- 양호: CI, SI, DI, EP, IL, XS, BF, IA, IN, PV, SN, AE, AU, WM</w:t>
              <w:br/>
              <w:t>- 부분양호: CF, IS</w:t>
              <w:br/>
              <w:t>- N/A: SSRF, PR, FU, FD, CC</w:t>
            </w:r>
          </w:p>
        </w:tc>
      </w:tr>
      <w:tr>
        <w:tc>
          <w:tcPr>
            <w:tcW w:type="dxa" w:w="5450"/>
          </w:tcPr>
          <w:p>
            <w:r>
              <w:t>5) 종합 평가 점수(기술적)</w:t>
              <w:br/>
              <w:t>- A(최대)=16×10=160</w:t>
              <w:br/>
              <w:t>- B(획득)=14×10 + 2×5 = 150</w:t>
              <w:br/>
              <w:t>- 종합점수=(B/A)×100 = 93.75점</w:t>
              <w:br/>
              <w:t>- 등급: 우수(보완 권고 포함)</w:t>
            </w:r>
          </w:p>
        </w:tc>
        <w:tc>
          <w:tcPr>
            <w:tcW w:type="dxa" w:w="5450"/>
          </w:tcPr>
          <w:p>
            <w:r>
              <w:t>6) 위험 우선순위/시사점</w:t>
              <w:br/>
              <w:t>- 잔여보완: IS(토큰 무효화), CF(CSRF 동등통제)</w:t>
              <w:br/>
              <w:t>- 해소완료: 하드코딩 비밀번호, docs 노출, CORS 와일드카드, 보안헤더</w:t>
              <w:br/>
              <w:t>- 우선순위: IS → CF</w:t>
            </w:r>
          </w:p>
        </w:tc>
      </w:tr>
      <w:tr>
        <w:tc>
          <w:tcPr>
            <w:tcW w:type="dxa" w:w="5450"/>
          </w:tcPr>
          <w:p>
            <w:r>
              <w:t>7) 보호대책/로드맵</w:t>
              <w:br/>
              <w:t>- D+7: JWT denylist(jti), Origin/Referer + 상호작용 토큰 적용</w:t>
              <w:br/>
              <w:t>- D+30: 인증 이벤트 모니터링·탐지 규칙 고도화</w:t>
            </w:r>
          </w:p>
        </w:tc>
        <w:tc>
          <w:tcPr>
            <w:tcW w:type="dxa" w:w="5450"/>
          </w:tcPr>
          <w:p>
            <w:r>
              <w:t>8) 시큐어코딩 수행 결과(요약+diff)</w:t>
              <w:br/>
              <w:t>- security.py: SECRET_KEY 필수화</w:t>
              <w:br/>
              <w:t>- init_db.py: 초기 계정 비밀번호 env 분리</w:t>
              <w:br/>
              <w:t>- auth.py: 고정 비번 제거 + 로그인 rate-limit</w:t>
              <w:br/>
              <w:t>- main.py: docs 비활성화 + CORS 제한 + 헤더 적용</w:t>
              <w:br/>
              <w:t>- mypage.py: 권한 강화 + 전화번호 마스킹</w:t>
              <w:br/>
              <w:t>- schemas.py: 비밀번호 복잡도 검증</w:t>
            </w:r>
          </w:p>
        </w:tc>
      </w:tr>
    </w:tbl>
    <w:p>
      <w:r>
        <w:rPr>
          <w:b/>
        </w:rPr>
        <w:t>코드 Diff 수준 실제 증적 캡처(핵심 4건)</w:t>
      </w:r>
    </w:p>
    <w:p>
      <w:r>
        <w:drawing>
          <wp:inline xmlns:a="http://schemas.openxmlformats.org/drawingml/2006/main" xmlns:pic="http://schemas.openxmlformats.org/drawingml/2006/picture">
            <wp:extent cx="6766560" cy="4059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0_code_collage_on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운영 재검증 기준: 2026-05-02, Backend=https://parktel-backend-resu.onrender.com, Frontend=https://parktel-frontend-resu.onrender.com</w:t>
      </w:r>
    </w:p>
    <w:sectPr w:rsidR="00FC693F" w:rsidRPr="0006063C" w:rsidSect="00034616"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