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24F" w:rsidRDefault="002E024F" w:rsidP="002E024F">
      <w:pPr>
        <w:jc w:val="right"/>
        <w:rPr>
          <w:b/>
          <w:sz w:val="28"/>
          <w:szCs w:val="28"/>
          <w:lang w:val="en-US"/>
        </w:rPr>
      </w:pPr>
      <w:r>
        <w:rPr>
          <w:b/>
          <w:sz w:val="28"/>
          <w:szCs w:val="28"/>
          <w:lang w:val="en-US"/>
        </w:rPr>
        <w:t>Abhijay Gupta</w:t>
      </w:r>
    </w:p>
    <w:p w:rsidR="002E024F" w:rsidRPr="002E024F" w:rsidRDefault="002E024F" w:rsidP="002E024F">
      <w:pPr>
        <w:jc w:val="right"/>
        <w:rPr>
          <w:b/>
          <w:sz w:val="28"/>
          <w:szCs w:val="28"/>
          <w:lang w:val="en-US"/>
        </w:rPr>
      </w:pPr>
      <w:r>
        <w:rPr>
          <w:b/>
          <w:sz w:val="28"/>
          <w:szCs w:val="28"/>
          <w:lang w:val="en-US"/>
        </w:rPr>
        <w:t>Student ID: 260708548</w:t>
      </w:r>
    </w:p>
    <w:p w:rsidR="00371A5A" w:rsidRDefault="002E024F" w:rsidP="002E024F">
      <w:pPr>
        <w:jc w:val="center"/>
        <w:rPr>
          <w:b/>
          <w:sz w:val="32"/>
          <w:szCs w:val="32"/>
          <w:u w:val="single"/>
          <w:lang w:val="en-US"/>
        </w:rPr>
      </w:pPr>
      <w:r>
        <w:rPr>
          <w:b/>
          <w:sz w:val="32"/>
          <w:szCs w:val="32"/>
          <w:u w:val="single"/>
          <w:lang w:val="en-US"/>
        </w:rPr>
        <w:t>Comp 251 Assignment 1</w:t>
      </w:r>
    </w:p>
    <w:p w:rsidR="002E024F" w:rsidRDefault="002E024F" w:rsidP="002E024F">
      <w:pPr>
        <w:jc w:val="center"/>
        <w:rPr>
          <w:b/>
          <w:sz w:val="32"/>
          <w:szCs w:val="32"/>
          <w:u w:val="single"/>
          <w:lang w:val="en-US"/>
        </w:rPr>
      </w:pPr>
    </w:p>
    <w:p w:rsidR="002E024F" w:rsidRDefault="002E024F" w:rsidP="002E024F">
      <w:pPr>
        <w:ind w:left="-567"/>
        <w:rPr>
          <w:b/>
          <w:sz w:val="28"/>
          <w:szCs w:val="32"/>
          <w:u w:val="single"/>
          <w:lang w:val="en-US"/>
        </w:rPr>
      </w:pPr>
      <w:r>
        <w:rPr>
          <w:b/>
          <w:sz w:val="28"/>
          <w:szCs w:val="32"/>
          <w:u w:val="single"/>
          <w:lang w:val="en-US"/>
        </w:rPr>
        <w:t>Task 1</w:t>
      </w: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r>
        <w:rPr>
          <w:b/>
          <w:noProof/>
          <w:sz w:val="28"/>
          <w:szCs w:val="32"/>
          <w:u w:val="single"/>
          <w:lang w:val="en-US"/>
        </w:rPr>
        <w:drawing>
          <wp:inline distT="0" distB="0" distL="0" distR="0">
            <wp:extent cx="6689813" cy="39052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_1.png"/>
                    <pic:cNvPicPr/>
                  </pic:nvPicPr>
                  <pic:blipFill>
                    <a:blip r:embed="rId6">
                      <a:extLst>
                        <a:ext uri="{28A0092B-C50C-407E-A947-70E740481C1C}">
                          <a14:useLocalDpi xmlns:a14="http://schemas.microsoft.com/office/drawing/2010/main" val="0"/>
                        </a:ext>
                      </a:extLst>
                    </a:blip>
                    <a:stretch>
                      <a:fillRect/>
                    </a:stretch>
                  </pic:blipFill>
                  <pic:spPr>
                    <a:xfrm>
                      <a:off x="0" y="0"/>
                      <a:ext cx="6707989" cy="3915861"/>
                    </a:xfrm>
                    <a:prstGeom prst="rect">
                      <a:avLst/>
                    </a:prstGeom>
                  </pic:spPr>
                </pic:pic>
              </a:graphicData>
            </a:graphic>
          </wp:inline>
        </w:drawing>
      </w:r>
    </w:p>
    <w:p w:rsidR="002E024F" w:rsidRDefault="002E024F" w:rsidP="002E024F">
      <w:pPr>
        <w:ind w:left="-567"/>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ind w:left="-567"/>
        <w:rPr>
          <w:b/>
          <w:sz w:val="28"/>
          <w:szCs w:val="32"/>
          <w:u w:val="single"/>
          <w:lang w:val="en-US"/>
        </w:rPr>
      </w:pPr>
      <w:r>
        <w:rPr>
          <w:b/>
          <w:sz w:val="28"/>
          <w:szCs w:val="32"/>
          <w:u w:val="single"/>
          <w:lang w:val="en-US"/>
        </w:rPr>
        <w:t>Task 2</w:t>
      </w: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r>
        <w:rPr>
          <w:b/>
          <w:noProof/>
          <w:sz w:val="28"/>
          <w:szCs w:val="32"/>
          <w:u w:val="single"/>
          <w:lang w:val="en-US"/>
        </w:rPr>
        <w:drawing>
          <wp:inline distT="0" distB="0" distL="0" distR="0">
            <wp:extent cx="65595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_2.png"/>
                    <pic:cNvPicPr/>
                  </pic:nvPicPr>
                  <pic:blipFill>
                    <a:blip r:embed="rId7">
                      <a:extLst>
                        <a:ext uri="{28A0092B-C50C-407E-A947-70E740481C1C}">
                          <a14:useLocalDpi xmlns:a14="http://schemas.microsoft.com/office/drawing/2010/main" val="0"/>
                        </a:ext>
                      </a:extLst>
                    </a:blip>
                    <a:stretch>
                      <a:fillRect/>
                    </a:stretch>
                  </pic:blipFill>
                  <pic:spPr>
                    <a:xfrm>
                      <a:off x="0" y="0"/>
                      <a:ext cx="6573368" cy="3856236"/>
                    </a:xfrm>
                    <a:prstGeom prst="rect">
                      <a:avLst/>
                    </a:prstGeom>
                  </pic:spPr>
                </pic:pic>
              </a:graphicData>
            </a:graphic>
          </wp:inline>
        </w:drawing>
      </w: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ind w:left="-567"/>
        <w:rPr>
          <w:b/>
          <w:sz w:val="28"/>
          <w:szCs w:val="32"/>
          <w:u w:val="single"/>
          <w:lang w:val="en-US"/>
        </w:rPr>
      </w:pPr>
      <w:r>
        <w:rPr>
          <w:b/>
          <w:sz w:val="28"/>
          <w:szCs w:val="32"/>
          <w:u w:val="single"/>
          <w:lang w:val="en-US"/>
        </w:rPr>
        <w:t>Task 3</w:t>
      </w:r>
    </w:p>
    <w:p w:rsidR="002E024F" w:rsidRDefault="002E024F" w:rsidP="002E024F">
      <w:pPr>
        <w:rPr>
          <w:b/>
          <w:sz w:val="28"/>
          <w:szCs w:val="32"/>
          <w:u w:val="single"/>
          <w:lang w:val="en-US"/>
        </w:rPr>
      </w:pPr>
    </w:p>
    <w:p w:rsidR="002E024F" w:rsidRDefault="002E024F" w:rsidP="002E024F">
      <w:pPr>
        <w:ind w:left="-426"/>
        <w:rPr>
          <w:b/>
          <w:sz w:val="28"/>
          <w:szCs w:val="32"/>
          <w:u w:val="single"/>
          <w:lang w:val="en-US"/>
        </w:rPr>
      </w:pPr>
      <w:r>
        <w:rPr>
          <w:b/>
          <w:noProof/>
          <w:sz w:val="28"/>
          <w:szCs w:val="32"/>
          <w:u w:val="single"/>
          <w:lang w:val="en-US"/>
        </w:rPr>
        <w:drawing>
          <wp:inline distT="0" distB="0" distL="0" distR="0">
            <wp:extent cx="6482963" cy="349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_3.png"/>
                    <pic:cNvPicPr/>
                  </pic:nvPicPr>
                  <pic:blipFill>
                    <a:blip r:embed="rId8">
                      <a:extLst>
                        <a:ext uri="{28A0092B-C50C-407E-A947-70E740481C1C}">
                          <a14:useLocalDpi xmlns:a14="http://schemas.microsoft.com/office/drawing/2010/main" val="0"/>
                        </a:ext>
                      </a:extLst>
                    </a:blip>
                    <a:stretch>
                      <a:fillRect/>
                    </a:stretch>
                  </pic:blipFill>
                  <pic:spPr>
                    <a:xfrm>
                      <a:off x="0" y="0"/>
                      <a:ext cx="6509924" cy="3510213"/>
                    </a:xfrm>
                    <a:prstGeom prst="rect">
                      <a:avLst/>
                    </a:prstGeom>
                  </pic:spPr>
                </pic:pic>
              </a:graphicData>
            </a:graphic>
          </wp:inline>
        </w:drawing>
      </w:r>
    </w:p>
    <w:p w:rsidR="00D9116F" w:rsidRDefault="00D9116F" w:rsidP="002E024F">
      <w:pPr>
        <w:ind w:left="-426"/>
        <w:rPr>
          <w:b/>
          <w:sz w:val="28"/>
          <w:szCs w:val="32"/>
          <w:u w:val="single"/>
          <w:lang w:val="en-US"/>
        </w:rPr>
      </w:pPr>
    </w:p>
    <w:p w:rsidR="00D9116F" w:rsidRDefault="00D9116F" w:rsidP="002E024F">
      <w:pPr>
        <w:ind w:left="-426"/>
        <w:rPr>
          <w:b/>
          <w:sz w:val="28"/>
          <w:szCs w:val="32"/>
          <w:u w:val="single"/>
          <w:lang w:val="en-US"/>
        </w:rPr>
      </w:pPr>
    </w:p>
    <w:p w:rsidR="00D9116F" w:rsidRDefault="00D9116F" w:rsidP="002E024F">
      <w:pPr>
        <w:ind w:left="-426"/>
        <w:rPr>
          <w:sz w:val="28"/>
          <w:szCs w:val="32"/>
          <w:lang w:val="en-US"/>
        </w:rPr>
      </w:pPr>
      <w:r>
        <w:rPr>
          <w:sz w:val="28"/>
          <w:szCs w:val="32"/>
          <w:lang w:val="en-US"/>
        </w:rPr>
        <w:t xml:space="preserve">As we can see from the graph, the average number of collisions for a Chaining table increases in a linear fashion with a low slope as the load factor (or alpha value) increases. </w:t>
      </w:r>
    </w:p>
    <w:p w:rsidR="00D9116F" w:rsidRDefault="00D9116F" w:rsidP="002E024F">
      <w:pPr>
        <w:ind w:left="-426"/>
        <w:rPr>
          <w:sz w:val="28"/>
          <w:szCs w:val="32"/>
          <w:lang w:val="en-US"/>
        </w:rPr>
      </w:pPr>
    </w:p>
    <w:p w:rsidR="00D9116F" w:rsidRDefault="00D9116F" w:rsidP="00D9116F">
      <w:pPr>
        <w:ind w:left="-426"/>
        <w:rPr>
          <w:sz w:val="28"/>
          <w:szCs w:val="32"/>
          <w:lang w:val="en-US"/>
        </w:rPr>
      </w:pPr>
      <w:r>
        <w:rPr>
          <w:sz w:val="28"/>
          <w:szCs w:val="32"/>
          <w:lang w:val="en-US"/>
        </w:rPr>
        <w:t>The average number of collisions for an Open Addressing table are more sporadic with spikes at the beginning but the average number of collisions decreases as the load factor increases and it even manages to fall below the number of collisions for</w:t>
      </w:r>
    </w:p>
    <w:p w:rsidR="00ED2B81" w:rsidRDefault="00D9116F" w:rsidP="00ED2B81">
      <w:pPr>
        <w:ind w:left="-426"/>
        <w:rPr>
          <w:sz w:val="28"/>
          <w:szCs w:val="32"/>
          <w:lang w:val="en-US"/>
        </w:rPr>
      </w:pPr>
      <w:r>
        <w:rPr>
          <w:sz w:val="28"/>
          <w:szCs w:val="32"/>
          <w:lang w:val="en-US"/>
        </w:rPr>
        <w:t xml:space="preserve">the Chaining table after a </w:t>
      </w:r>
      <w:r w:rsidR="000A4C53">
        <w:rPr>
          <w:sz w:val="28"/>
          <w:szCs w:val="32"/>
          <w:lang w:val="en-US"/>
        </w:rPr>
        <w:t>certain load factor.</w:t>
      </w:r>
    </w:p>
    <w:p w:rsidR="00ED2B81" w:rsidRDefault="00ED2B81" w:rsidP="00ED2B81">
      <w:pPr>
        <w:ind w:left="-426"/>
        <w:rPr>
          <w:sz w:val="28"/>
          <w:szCs w:val="32"/>
          <w:lang w:val="en-US"/>
        </w:rPr>
      </w:pPr>
    </w:p>
    <w:p w:rsidR="007B1E78" w:rsidRDefault="00ED2B81" w:rsidP="007B1E78">
      <w:pPr>
        <w:ind w:left="-426"/>
        <w:rPr>
          <w:rFonts w:eastAsiaTheme="minorEastAsia" w:cstheme="minorHAnsi"/>
          <w:sz w:val="28"/>
          <w:szCs w:val="32"/>
          <w:lang w:val="en-US"/>
        </w:rPr>
      </w:pPr>
      <w:r>
        <w:rPr>
          <w:sz w:val="28"/>
          <w:szCs w:val="32"/>
          <w:lang w:val="en-US"/>
        </w:rPr>
        <w:t>In the hash function for Open Addressing,</w:t>
      </w:r>
      <w:r>
        <w:rPr>
          <w:rFonts w:cstheme="minorHAnsi"/>
          <w:sz w:val="28"/>
          <w:szCs w:val="28"/>
          <w:lang w:val="en-US"/>
        </w:rPr>
        <w:t xml:space="preserve"> </w:t>
      </w:r>
      <m:oMath>
        <m:r>
          <w:rPr>
            <w:rFonts w:ascii="Cambria Math" w:hAnsi="Cambria Math"/>
            <w:sz w:val="28"/>
            <w:szCs w:val="32"/>
            <w:lang w:val="en-US"/>
          </w:rPr>
          <m:t>g</m:t>
        </m:r>
        <m:d>
          <m:dPr>
            <m:ctrlPr>
              <w:rPr>
                <w:rFonts w:ascii="Cambria Math" w:hAnsi="Cambria Math"/>
                <w:i/>
                <w:sz w:val="28"/>
                <w:szCs w:val="32"/>
                <w:lang w:val="en-US"/>
              </w:rPr>
            </m:ctrlPr>
          </m:dPr>
          <m:e>
            <m:r>
              <w:rPr>
                <w:rFonts w:ascii="Cambria Math" w:hAnsi="Cambria Math"/>
                <w:sz w:val="28"/>
                <w:szCs w:val="32"/>
                <w:lang w:val="en-US"/>
              </w:rPr>
              <m:t>k, i</m:t>
            </m:r>
          </m:e>
        </m:d>
        <m:r>
          <w:rPr>
            <w:rFonts w:ascii="Cambria Math" w:hAnsi="Cambria Math"/>
            <w:sz w:val="28"/>
            <w:szCs w:val="32"/>
            <w:lang w:val="en-US"/>
          </w:rPr>
          <m:t>=</m:t>
        </m:r>
        <m:d>
          <m:dPr>
            <m:ctrlPr>
              <w:rPr>
                <w:rFonts w:ascii="Cambria Math" w:hAnsi="Cambria Math"/>
                <w:i/>
                <w:sz w:val="28"/>
                <w:szCs w:val="32"/>
                <w:lang w:val="en-US"/>
              </w:rPr>
            </m:ctrlPr>
          </m:dPr>
          <m:e>
            <m:r>
              <w:rPr>
                <w:rFonts w:ascii="Cambria Math" w:hAnsi="Cambria Math"/>
                <w:sz w:val="28"/>
                <w:szCs w:val="32"/>
                <w:lang w:val="en-US"/>
              </w:rPr>
              <m:t>h</m:t>
            </m:r>
            <m:d>
              <m:dPr>
                <m:ctrlPr>
                  <w:rPr>
                    <w:rFonts w:ascii="Cambria Math" w:hAnsi="Cambria Math"/>
                    <w:i/>
                    <w:sz w:val="28"/>
                    <w:szCs w:val="32"/>
                    <w:lang w:val="en-US"/>
                  </w:rPr>
                </m:ctrlPr>
              </m:dPr>
              <m:e>
                <m:r>
                  <w:rPr>
                    <w:rFonts w:ascii="Cambria Math" w:hAnsi="Cambria Math"/>
                    <w:sz w:val="28"/>
                    <w:szCs w:val="32"/>
                    <w:lang w:val="en-US"/>
                  </w:rPr>
                  <m:t>k</m:t>
                </m:r>
              </m:e>
            </m:d>
            <m:r>
              <w:rPr>
                <w:rFonts w:ascii="Cambria Math" w:hAnsi="Cambria Math"/>
                <w:sz w:val="28"/>
                <w:szCs w:val="32"/>
                <w:lang w:val="en-US"/>
              </w:rPr>
              <m:t>+i</m:t>
            </m:r>
          </m:e>
        </m:d>
        <m:r>
          <w:rPr>
            <w:rFonts w:ascii="Cambria Math" w:hAnsi="Cambria Math"/>
            <w:sz w:val="28"/>
            <w:szCs w:val="32"/>
            <w:lang w:val="en-US"/>
          </w:rPr>
          <m:t xml:space="preserve"> mod </m:t>
        </m:r>
        <m:sSup>
          <m:sSupPr>
            <m:ctrlPr>
              <w:rPr>
                <w:rFonts w:ascii="Cambria Math" w:hAnsi="Cambria Math"/>
                <w:i/>
                <w:sz w:val="28"/>
                <w:szCs w:val="32"/>
                <w:lang w:val="en-US"/>
              </w:rPr>
            </m:ctrlPr>
          </m:sSupPr>
          <m:e>
            <m:r>
              <w:rPr>
                <w:rFonts w:ascii="Cambria Math" w:hAnsi="Cambria Math"/>
                <w:sz w:val="28"/>
                <w:szCs w:val="32"/>
                <w:lang w:val="en-US"/>
              </w:rPr>
              <m:t>2</m:t>
            </m:r>
          </m:e>
          <m:sup>
            <m:r>
              <w:rPr>
                <w:rFonts w:ascii="Cambria Math" w:hAnsi="Cambria Math"/>
                <w:sz w:val="28"/>
                <w:szCs w:val="32"/>
                <w:lang w:val="en-US"/>
              </w:rPr>
              <m:t>r</m:t>
            </m:r>
          </m:sup>
        </m:sSup>
      </m:oMath>
      <w:r>
        <w:rPr>
          <w:rFonts w:eastAsiaTheme="minorEastAsia" w:cstheme="minorHAnsi"/>
          <w:sz w:val="28"/>
          <w:szCs w:val="32"/>
          <w:lang w:val="en-US"/>
        </w:rPr>
        <w:t xml:space="preserve">, the value of </w:t>
      </w:r>
      <w:r w:rsidRPr="007B1E78">
        <w:rPr>
          <w:rFonts w:ascii="Cambria Math" w:eastAsiaTheme="minorEastAsia" w:hAnsi="Cambria Math" w:cstheme="minorHAnsi"/>
          <w:i/>
          <w:sz w:val="28"/>
          <w:szCs w:val="32"/>
          <w:lang w:val="en-US"/>
        </w:rPr>
        <w:t>h(k)</w:t>
      </w:r>
      <w:r>
        <w:rPr>
          <w:rFonts w:eastAsiaTheme="minorEastAsia" w:cstheme="minorHAnsi"/>
          <w:i/>
          <w:sz w:val="28"/>
          <w:szCs w:val="32"/>
          <w:lang w:val="en-US"/>
        </w:rPr>
        <w:t xml:space="preserve"> </w:t>
      </w:r>
      <w:r>
        <w:rPr>
          <w:rFonts w:eastAsiaTheme="minorEastAsia" w:cstheme="minorHAnsi"/>
          <w:sz w:val="28"/>
          <w:szCs w:val="32"/>
          <w:lang w:val="en-US"/>
        </w:rPr>
        <w:t xml:space="preserve">is fixed and </w:t>
      </w:r>
      <w:r w:rsidRPr="007B1E78">
        <w:rPr>
          <w:rFonts w:ascii="Cambria Math" w:eastAsiaTheme="minorEastAsia" w:hAnsi="Cambria Math" w:cstheme="minorHAnsi"/>
          <w:i/>
          <w:sz w:val="28"/>
          <w:szCs w:val="32"/>
          <w:lang w:val="en-US"/>
        </w:rPr>
        <w:t>g(k, i)</w:t>
      </w:r>
      <w:r>
        <w:rPr>
          <w:rFonts w:eastAsiaTheme="minorEastAsia" w:cstheme="minorHAnsi"/>
          <w:i/>
          <w:sz w:val="28"/>
          <w:szCs w:val="32"/>
          <w:lang w:val="en-US"/>
        </w:rPr>
        <w:t xml:space="preserve"> </w:t>
      </w:r>
      <w:r>
        <w:rPr>
          <w:rFonts w:eastAsiaTheme="minorEastAsia" w:cstheme="minorHAnsi"/>
          <w:sz w:val="28"/>
          <w:szCs w:val="32"/>
          <w:lang w:val="en-US"/>
        </w:rPr>
        <w:t xml:space="preserve">changes with change in i. At times, this causes the function to check consecutive slots in the </w:t>
      </w:r>
      <w:r w:rsidR="007B1E78">
        <w:rPr>
          <w:rFonts w:eastAsiaTheme="minorEastAsia" w:cstheme="minorHAnsi"/>
          <w:sz w:val="28"/>
          <w:szCs w:val="32"/>
          <w:lang w:val="en-US"/>
        </w:rPr>
        <w:t xml:space="preserve">table which are </w:t>
      </w:r>
      <w:r w:rsidR="00A55A6A">
        <w:rPr>
          <w:rFonts w:eastAsiaTheme="minorEastAsia" w:cstheme="minorHAnsi"/>
          <w:sz w:val="28"/>
          <w:szCs w:val="32"/>
          <w:lang w:val="en-US"/>
        </w:rPr>
        <w:t xml:space="preserve">already </w:t>
      </w:r>
      <w:r w:rsidR="007B1E78">
        <w:rPr>
          <w:rFonts w:eastAsiaTheme="minorEastAsia" w:cstheme="minorHAnsi"/>
          <w:sz w:val="28"/>
          <w:szCs w:val="32"/>
          <w:lang w:val="en-US"/>
        </w:rPr>
        <w:t xml:space="preserve">filled by the nature of open addressing, which leads to a longer processing time to find an open slot and therefore </w:t>
      </w:r>
      <w:r w:rsidR="007B1E78">
        <w:rPr>
          <w:rFonts w:eastAsiaTheme="minorEastAsia" w:cstheme="minorHAnsi"/>
          <w:sz w:val="28"/>
          <w:szCs w:val="32"/>
          <w:lang w:val="en-US"/>
        </w:rPr>
        <w:lastRenderedPageBreak/>
        <w:t>a higher number of collisions.</w:t>
      </w:r>
      <w:r w:rsidR="00A55A6A">
        <w:rPr>
          <w:rFonts w:eastAsiaTheme="minorEastAsia" w:cstheme="minorHAnsi"/>
          <w:sz w:val="28"/>
          <w:szCs w:val="32"/>
          <w:lang w:val="en-US"/>
        </w:rPr>
        <w:t xml:space="preserve"> While the number of collisions do decrease as the load factor increases, on average, they still remain higher than collisions for Chaining.</w:t>
      </w:r>
      <w:bookmarkStart w:id="0" w:name="_GoBack"/>
      <w:bookmarkEnd w:id="0"/>
    </w:p>
    <w:p w:rsidR="00A55A6A" w:rsidRDefault="00A55A6A" w:rsidP="007B1E78">
      <w:pPr>
        <w:ind w:left="-426"/>
        <w:rPr>
          <w:rFonts w:eastAsiaTheme="minorEastAsia" w:cstheme="minorHAnsi"/>
          <w:sz w:val="28"/>
          <w:szCs w:val="32"/>
          <w:lang w:val="en-US"/>
        </w:rPr>
      </w:pPr>
    </w:p>
    <w:p w:rsidR="007B1E78" w:rsidRPr="007B1E78" w:rsidRDefault="007B1E78" w:rsidP="007B1E78">
      <w:pPr>
        <w:ind w:left="-426"/>
        <w:rPr>
          <w:rFonts w:eastAsiaTheme="minorEastAsia" w:cstheme="minorHAnsi"/>
          <w:sz w:val="28"/>
          <w:szCs w:val="32"/>
          <w:lang w:val="en-US"/>
        </w:rPr>
      </w:pPr>
      <w:r>
        <w:rPr>
          <w:rFonts w:eastAsiaTheme="minorEastAsia" w:cstheme="minorHAnsi"/>
          <w:sz w:val="28"/>
          <w:szCs w:val="32"/>
          <w:lang w:val="en-US"/>
        </w:rPr>
        <w:t>With Chaining, the hash value gives us a specific slot and our collisions mainly depend on the size of the list at this slot. If the load factor is low, the number of collisions counted for Chaining turns out to be low as well. As previously stated, it can be seen that the number of collisions increases linearly at a low rate as the load factor increases.</w:t>
      </w:r>
    </w:p>
    <w:sectPr w:rsidR="007B1E78" w:rsidRPr="007B1E78" w:rsidSect="002E0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4229"/>
    <w:multiLevelType w:val="multilevel"/>
    <w:tmpl w:val="E038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4F"/>
    <w:rsid w:val="000A4C53"/>
    <w:rsid w:val="002B4186"/>
    <w:rsid w:val="002E024F"/>
    <w:rsid w:val="00371A5A"/>
    <w:rsid w:val="003B5139"/>
    <w:rsid w:val="003D419D"/>
    <w:rsid w:val="006522A5"/>
    <w:rsid w:val="007B1E78"/>
    <w:rsid w:val="008D6F6D"/>
    <w:rsid w:val="00A55A6A"/>
    <w:rsid w:val="00D9116F"/>
    <w:rsid w:val="00ED2B81"/>
    <w:rsid w:val="00F737E1"/>
    <w:rsid w:val="00FC1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47219C"/>
  <w15:chartTrackingRefBased/>
  <w15:docId w15:val="{C9C67DA0-624C-144D-A804-2D32100B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B8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D2B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6859">
      <w:bodyDiv w:val="1"/>
      <w:marLeft w:val="0"/>
      <w:marRight w:val="0"/>
      <w:marTop w:val="0"/>
      <w:marBottom w:val="0"/>
      <w:divBdr>
        <w:top w:val="none" w:sz="0" w:space="0" w:color="auto"/>
        <w:left w:val="none" w:sz="0" w:space="0" w:color="auto"/>
        <w:bottom w:val="none" w:sz="0" w:space="0" w:color="auto"/>
        <w:right w:val="none" w:sz="0" w:space="0" w:color="auto"/>
      </w:divBdr>
      <w:divsChild>
        <w:div w:id="549196201">
          <w:marLeft w:val="0"/>
          <w:marRight w:val="0"/>
          <w:marTop w:val="0"/>
          <w:marBottom w:val="0"/>
          <w:divBdr>
            <w:top w:val="none" w:sz="0" w:space="0" w:color="auto"/>
            <w:left w:val="none" w:sz="0" w:space="0" w:color="auto"/>
            <w:bottom w:val="none" w:sz="0" w:space="0" w:color="auto"/>
            <w:right w:val="none" w:sz="0" w:space="0" w:color="auto"/>
          </w:divBdr>
          <w:divsChild>
            <w:div w:id="1807357754">
              <w:marLeft w:val="0"/>
              <w:marRight w:val="0"/>
              <w:marTop w:val="0"/>
              <w:marBottom w:val="0"/>
              <w:divBdr>
                <w:top w:val="none" w:sz="0" w:space="0" w:color="auto"/>
                <w:left w:val="none" w:sz="0" w:space="0" w:color="auto"/>
                <w:bottom w:val="none" w:sz="0" w:space="0" w:color="auto"/>
                <w:right w:val="none" w:sz="0" w:space="0" w:color="auto"/>
              </w:divBdr>
              <w:divsChild>
                <w:div w:id="1481924731">
                  <w:marLeft w:val="0"/>
                  <w:marRight w:val="0"/>
                  <w:marTop w:val="0"/>
                  <w:marBottom w:val="0"/>
                  <w:divBdr>
                    <w:top w:val="none" w:sz="0" w:space="0" w:color="auto"/>
                    <w:left w:val="none" w:sz="0" w:space="0" w:color="auto"/>
                    <w:bottom w:val="none" w:sz="0" w:space="0" w:color="auto"/>
                    <w:right w:val="none" w:sz="0" w:space="0" w:color="auto"/>
                  </w:divBdr>
                  <w:divsChild>
                    <w:div w:id="21281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5282">
      <w:bodyDiv w:val="1"/>
      <w:marLeft w:val="0"/>
      <w:marRight w:val="0"/>
      <w:marTop w:val="0"/>
      <w:marBottom w:val="0"/>
      <w:divBdr>
        <w:top w:val="none" w:sz="0" w:space="0" w:color="auto"/>
        <w:left w:val="none" w:sz="0" w:space="0" w:color="auto"/>
        <w:bottom w:val="none" w:sz="0" w:space="0" w:color="auto"/>
        <w:right w:val="none" w:sz="0" w:space="0" w:color="auto"/>
      </w:divBdr>
      <w:divsChild>
        <w:div w:id="1630547504">
          <w:marLeft w:val="0"/>
          <w:marRight w:val="0"/>
          <w:marTop w:val="0"/>
          <w:marBottom w:val="0"/>
          <w:divBdr>
            <w:top w:val="none" w:sz="0" w:space="0" w:color="auto"/>
            <w:left w:val="none" w:sz="0" w:space="0" w:color="auto"/>
            <w:bottom w:val="none" w:sz="0" w:space="0" w:color="auto"/>
            <w:right w:val="none" w:sz="0" w:space="0" w:color="auto"/>
          </w:divBdr>
          <w:divsChild>
            <w:div w:id="884950317">
              <w:marLeft w:val="0"/>
              <w:marRight w:val="0"/>
              <w:marTop w:val="0"/>
              <w:marBottom w:val="0"/>
              <w:divBdr>
                <w:top w:val="none" w:sz="0" w:space="0" w:color="auto"/>
                <w:left w:val="none" w:sz="0" w:space="0" w:color="auto"/>
                <w:bottom w:val="none" w:sz="0" w:space="0" w:color="auto"/>
                <w:right w:val="none" w:sz="0" w:space="0" w:color="auto"/>
              </w:divBdr>
              <w:divsChild>
                <w:div w:id="12988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9EC0-4668-3645-AF34-23E280A3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2018-10-08T21:11:00Z</dcterms:created>
  <dcterms:modified xsi:type="dcterms:W3CDTF">2018-10-08T21:40:00Z</dcterms:modified>
</cp:coreProperties>
</file>