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RCOM Guwahati Charged with Insubordination and Disobedience of Directives</w:t>
      </w:r>
    </w:p>
    <w:p>
      <w:r/>
      <w:r>
        <w:rPr>
          <w:b/>
        </w:rPr>
        <w:t>Charged Officer Details:</w:t>
      </w:r>
      <w:r>
        <w:t xml:space="preserve"> Name: RCOM Guwahati, Designation: Regional Coordinator</w:t>
      </w:r>
    </w:p>
    <w:p>
      <w:pPr>
        <w:pStyle w:val="Heading2"/>
      </w:pPr>
      <w:r>
        <w:rPr>
          <w:color w:val="323232"/>
        </w:rPr>
        <w:t>1. Executive Summary</w:t>
      </w:r>
    </w:p>
    <w:p>
      <w:r>
        <w:t>The case involves RCOM Guwahati, which is accused of insubordination and willful disobedience of directives from higher authorities. The key allegations include the approval of five mining plans despite clear instructions to revoke them. Evidence includes letters and emails from IBM and RCOM Guwahati, as well as a suspension order approved by the ministry. The charged officer provided a defense stating that remedial measures were not clearly mentioned in the letter.</w:t>
      </w:r>
    </w:p>
    <w:p>
      <w:pPr>
        <w:pStyle w:val="Heading2"/>
      </w:pPr>
      <w:r>
        <w:rPr>
          <w:color w:val="323232"/>
        </w:rPr>
        <w:t>2. Key Allegations</w:t>
      </w:r>
    </w:p>
    <w:p>
      <w:pPr>
        <w:pStyle w:val="ListBullet"/>
      </w:pPr>
      <w:r>
        <w:t>Acting against the spirit of law causing loss to exchequer by approving five mining plans provisionally and finally.</w:t>
      </w:r>
    </w:p>
    <w:p>
      <w:pPr>
        <w:pStyle w:val="ListBullet"/>
      </w:pPr>
      <w:r>
        <w:t>Insubordination and willful disobedience of directive of superiors despite clear advice for taking remedial measures including revocation of approved mining plans.</w:t>
      </w:r>
    </w:p>
    <w:p>
      <w:pPr>
        <w:pStyle w:val="Heading2"/>
      </w:pPr>
      <w:r>
        <w:rPr>
          <w:color w:val="323232"/>
        </w:rPr>
        <w:t>3. Evidence &amp; Findings</w:t>
      </w:r>
    </w:p>
    <w:p>
      <w:pPr>
        <w:pStyle w:val="ListBullet"/>
      </w:pPr>
      <w:r>
        <w:t>Instructions to revoke approved mining plans were issued in respect of saved cases for which leases were not granted before the amendment Act dated 28.3.2021.</w:t>
      </w:r>
    </w:p>
    <w:p>
      <w:pPr>
        <w:pStyle w:val="ListBullet"/>
      </w:pPr>
      <w:r>
        <w:t>Mines were inspected in March/April 2021 by ACOM.</w:t>
      </w:r>
    </w:p>
    <w:p>
      <w:pPr>
        <w:pStyle w:val="ListBullet"/>
      </w:pPr>
      <w:r>
        <w:t>A Suo-moto mail dated 8.5.2021 from the State Govt informed that the leases were granted in respect of these 5 mines in Jan and Feb 2021.</w:t>
      </w:r>
    </w:p>
    <w:p>
      <w:pPr>
        <w:pStyle w:val="ListBullet"/>
      </w:pPr>
      <w:r>
        <w:t>Letter dated 30.11.2021 by IBM advising RCOM Guwahati to take remedial measures.</w:t>
      </w:r>
    </w:p>
    <w:p>
      <w:pPr>
        <w:pStyle w:val="ListBullet"/>
      </w:pPr>
      <w:r>
        <w:t>Email dated 31.12.2021 by RCOM Guwahati justifying approval of mining plans.</w:t>
      </w:r>
    </w:p>
    <w:p>
      <w:pPr>
        <w:pStyle w:val="ListBullet"/>
      </w:pPr>
      <w:r>
        <w:t>Brief note on approval of Mining plan to ministry dated 15.12.2021.</w:t>
      </w:r>
    </w:p>
    <w:p>
      <w:pPr>
        <w:pStyle w:val="ListBullet"/>
      </w:pPr>
      <w:r>
        <w:t>Suspension order approved by the ministry dated 31.12.2021.</w:t>
      </w:r>
    </w:p>
    <w:p>
      <w:pPr>
        <w:pStyle w:val="Heading2"/>
      </w:pPr>
      <w:r>
        <w:rPr>
          <w:color w:val="323232"/>
        </w:rPr>
        <w:t>4. Defense Arguments</w:t>
      </w:r>
    </w:p>
    <w:p>
      <w:r>
        <w:t>The charged officer argued that remedial measures were not clearly mentioned in the letter.</w:t>
      </w:r>
    </w:p>
    <w:p>
      <w:pPr>
        <w:pStyle w:val="Heading2"/>
      </w:pPr>
      <w:r>
        <w:rPr>
          <w:color w:val="323232"/>
        </w:rPr>
        <w:t>5. Conclusion/Status</w:t>
      </w:r>
    </w:p>
    <w:p>
      <w:r>
        <w:t>The case is ongoing with a suspension order approved by the ministry dated 31.12.2021.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