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Shri K.K. Tardia Faces Disciplinary Action for Misconduct</w:t>
      </w:r>
    </w:p>
    <w:p>
      <w:r/>
      <w:r>
        <w:rPr>
          <w:b/>
        </w:rPr>
        <w:t>Charged Officer Details:</w:t>
      </w:r>
      <w:r>
        <w:t xml:space="preserve"> Name: Shri K.K. Tardia, Designation: Regional Controller of Mines</w:t>
      </w:r>
    </w:p>
    <w:p>
      <w:pPr>
        <w:pStyle w:val="Heading2"/>
      </w:pPr>
      <w:r>
        <w:rPr>
          <w:color w:val="323232"/>
        </w:rPr>
        <w:t>1. Executive Summary</w:t>
      </w:r>
    </w:p>
    <w:p>
      <w:r>
        <w:t>Shri K.K. Tardia, Regional Controller of Mines, is facing disciplinary action for misconduct related to the approval of mining plans in contravention of the Mines and Minerals (Development and Regulation) Act 1957 (MMDR Act 1957). The charges include approving mining plans for graphite leases after the amendment of the MMDR Act, which rendered such approvals illegal. Additionally, Tardia is accused of failing to comply with directives from higher authorities and providing incorrect legal interpretations regarding the applicability of the MMDR Act to graphite. The case highlights issues of legal compliance, adherence to official instructions, and the potential financial implications of such actions.</w:t>
      </w:r>
    </w:p>
    <w:p>
      <w:pPr>
        <w:pStyle w:val="Heading2"/>
      </w:pPr>
      <w:r>
        <w:rPr>
          <w:color w:val="323232"/>
        </w:rPr>
        <w:t>2. Key Allegations</w:t>
      </w:r>
    </w:p>
    <w:p>
      <w:pPr>
        <w:pStyle w:val="ListBullet"/>
      </w:pPr>
      <w:r>
        <w:t>Approval of mining plans for graphite leases post-amendment of the MMDR Act, which is illegal.</w:t>
      </w:r>
    </w:p>
    <w:p>
      <w:pPr>
        <w:pStyle w:val="ListBullet"/>
      </w:pPr>
      <w:r>
        <w:t>Providing incorrect legal interpretations regarding the applicability of the MMDR Act to graphite.</w:t>
      </w:r>
    </w:p>
    <w:p>
      <w:pPr>
        <w:pStyle w:val="ListBullet"/>
      </w:pPr>
      <w:r>
        <w:t>Failing to comply with directives from higher authorities.</w:t>
      </w:r>
    </w:p>
    <w:p>
      <w:pPr>
        <w:pStyle w:val="Heading2"/>
      </w:pPr>
      <w:r>
        <w:rPr>
          <w:color w:val="323232"/>
        </w:rPr>
        <w:t>3. Evidence &amp; Findings</w:t>
      </w:r>
    </w:p>
    <w:p>
      <w:r>
        <w:t>Evidence includes letters and emails from the Chief Controller of Mines and the Deputy Secretary of Arunachal Pradesh, as well as a brief note on the approval of mining plans by the Regional Office in Guwahati.</w:t>
      </w:r>
    </w:p>
    <w:p>
      <w:pPr>
        <w:pStyle w:val="Heading2"/>
      </w:pPr>
      <w:r>
        <w:rPr>
          <w:color w:val="323232"/>
        </w:rPr>
        <w:t>4. Defense Arguments</w:t>
      </w:r>
    </w:p>
    <w:p>
      <w:r>
        <w:t>No specific defense arguments are mentioned in the document.</w:t>
      </w:r>
    </w:p>
    <w:p>
      <w:pPr>
        <w:pStyle w:val="Heading2"/>
      </w:pPr>
      <w:r>
        <w:rPr>
          <w:color w:val="323232"/>
        </w:rPr>
        <w:t>5. Conclusion/Status</w:t>
      </w:r>
    </w:p>
    <w:p>
      <w:r>
        <w:t>The case is pending with the inquiry authority, and Tardia is directed to submit a written statement of defense within 15 days of receipt of the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