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Mineral Concessions and Legal Procedures in Arunachal Pradesh</w:t>
      </w:r>
    </w:p>
    <w:p>
      <w:r/>
      <w:r>
        <w:rPr>
          <w:b/>
        </w:rPr>
        <w:t>Charged Officer Details:</w:t>
      </w:r>
      <w:r>
        <w:t xml:space="preserve"> N/A</w:t>
      </w:r>
    </w:p>
    <w:p>
      <w:pPr>
        <w:pStyle w:val="Heading2"/>
      </w:pPr>
      <w:r>
        <w:rPr>
          <w:color w:val="323232"/>
        </w:rPr>
        <w:t>1. Executive Summary</w:t>
      </w:r>
    </w:p>
    <w:p>
      <w:r>
        <w:t>This report summarizes the legal proceedings related to mineral concessions and mining leases in Arunachal Pradesh, India. The document discusses the approval and execution of Mining Plans and lease deeds for five areas, highlighting the procedural steps and dates relevant to the amendment of the MMDR Act 2021.</w:t>
      </w:r>
    </w:p>
    <w:p>
      <w:pPr>
        <w:pStyle w:val="Heading2"/>
      </w:pPr>
      <w:r>
        <w:rPr>
          <w:color w:val="323232"/>
        </w:rPr>
        <w:t>3. Evidence &amp; Findings</w:t>
      </w:r>
    </w:p>
    <w:p>
      <w:pPr>
        <w:pStyle w:val="ListBullet"/>
      </w:pPr>
      <w:r>
        <w:t>{'date': '28.03.2021', 'description': 'Amendment to section 10(A)(2)(b) of the MMDR Act was notified, proclaiming all cases covered under section 10(A)(2)(b) including pending cases the right to obtain prospecting license followed by mining lease or mining lease, as the case may be, shall lapse on commencement of MMDR amendment act 2021.'}</w:t>
      </w:r>
    </w:p>
    <w:p>
      <w:pPr>
        <w:pStyle w:val="ListBullet"/>
      </w:pPr>
      <w:r>
        <w:t>{'date': '13.04.2021', 'description': 'Letter advised that Mining Plan approved for fresh grant of leases falling under section 10(A)(2)(b) of MMDR act 1957 shall be revoked where the lease deed has not been executed before the 28.03.2021.'}</w:t>
      </w:r>
    </w:p>
    <w:p>
      <w:pPr>
        <w:pStyle w:val="Heading2"/>
      </w:pPr>
      <w:r>
        <w:rPr>
          <w:color w:val="323232"/>
        </w:rPr>
        <w:t>5. Conclusion/Status</w:t>
      </w:r>
    </w:p>
    <w:p>
      <w:r>
        <w:t>The document does not provide a conclusion or status update for any specific case, but rather outlines the legal framework and procedural steps related to mineral concessions and mining leases in Arunachal Pradesh.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