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Case Against Shri K.K. Tardia -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Regional Controller of Mines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RCOM,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case began with the approval of mining plans for Graphite cases in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contravention of section 5(2)(b) of the MMDR Act. Important dates include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31.12.2021 when the suspension order was served, and 19.9.2022 when a rejoinder </w:t>
      </w:r>
      <w:r>
        <w:rPr>
          <w:rFonts w:ascii="Verdana" w:hAnsi="Verdana" w:eastAsia="Verdana"/>
          <w:b w:val="0"/>
          <w:i w:val="0"/>
          <w:color w:val="333333"/>
          <w:sz w:val="22"/>
        </w:rPr>
        <w:t>was submitted in response to the Department enquiry.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a disciplinary case against Shri K.K. Tardia, a Regional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Controller of Mines. The case revolves around allegations of approving mining plans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 contravention of section 5(2)(b) of the MMDR Act. Key procedural steps include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suspension order served on 31.12.2021 and the submission of a rejoinder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19.9.2022. Evidence includes emails and letters exchanged between RCOM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>Guwahati, CCOM, and the State Government.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mining plans for Graphite cases in contravention of section 5(2) </w:t>
      </w:r>
      <w:r>
        <w:rPr>
          <w:rFonts w:ascii="Verdana" w:hAnsi="Verdana" w:eastAsia="Verdana"/>
          <w:b w:val="0"/>
          <w:i w:val="0"/>
          <w:color w:val="333333"/>
          <w:sz w:val="22"/>
        </w:rPr>
        <w:t>(b) of the MMDR 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4" w:lineRule="auto" w:before="254" w:after="320"/>
        <w:ind w:left="0" w:right="72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emails and letters exchanged between RCOM Guwahati,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CCOM, and the State Government regarding the approval of mining plans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>leases.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p>
      <w:pPr>
        <w:sectPr>
          <w:pgSz w:w="11906" w:h="16838"/>
          <w:pgMar w:top="700" w:right="1226" w:bottom="842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document does not provide the final outcome or current status of the case.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