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 for Alleged Violations of MMDR Act,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1957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4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Charged with violations of the MMDR Act, 1957 and Rules made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thereunder.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 in Guwahati, is under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proceedings for allegedly approving mining plans for five graphite leases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contravention of the MMDR Act, 1957 and Rules made thereunder. The key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allegations include acting against the provisions of the MMDR Act, misinterpreting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applicability of Section 5(2)(b) of the MMDR Act to graphite, and disobeying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directives of higher authorities. Key evidence includes the approval of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post lease execution, an email stating that Section 5(2)(b) is not applicable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graphite, and a letter justifying the approval of mining plans. Procedural steps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include a memorandum proposing an inquiry, a deadline for submitting a written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statement of defense, and advice to take remedial measures. Important dates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include the commencement of the MMDR Amendment Act, 2021, a telephonic </w:t>
      </w:r>
      <w:r>
        <w:rPr>
          <w:rFonts w:ascii="Verdana" w:hAnsi="Verdana" w:eastAsia="Verdana"/>
          <w:b w:val="0"/>
          <w:i w:val="0"/>
          <w:color w:val="333333"/>
          <w:sz w:val="22"/>
        </w:rPr>
        <w:t>enquiry by higher authorities, and advice to take remedial measures.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Tardia, Regional Controller of Mines in Guwahati, is under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proceedings for allegedly approving mining plans for five graphite leases in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contravention of the MMDR Act, 1957 and Rules made thereunder. The key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allegations include acting against the provisions of the MMDR Act, misinterpreting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applicability of Section 5(2)(b) of the MMDR Act to graphite, and disobeying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directives of higher authorities. Key evidence includes the approval of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post lease execution, an email stating that Section 5(2)(b) is not applicable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graphite, and a letter justifying the approval of mining plans. Procedural steps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include a memorandum proposing an inquiry, a deadline for submitting a written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statement of defense, and advice to take remedial measures. Important dates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include the commencement of the MMDR Amendment Act, 2021, a telephonic </w:t>
      </w:r>
      <w:r>
        <w:rPr>
          <w:rFonts w:ascii="Verdana" w:hAnsi="Verdana" w:eastAsia="Verdana"/>
          <w:b w:val="0"/>
          <w:i w:val="0"/>
          <w:color w:val="333333"/>
          <w:sz w:val="22"/>
        </w:rPr>
        <w:t>enquiry by higher authorities, and advice to take remedial measures.</w:t>
      </w:r>
    </w:p>
    <w:p>
      <w:pPr>
        <w:sectPr>
          <w:pgSz w:w="11906" w:h="16838"/>
          <w:pgMar w:top="700" w:right="1226" w:bottom="72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4" w:after="0"/>
        <w:ind w:left="704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Acting against the provisions of the MMDR Act, 1957 by approving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plans for five graphite leases.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4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Misinterpreting the applicability of Section 5(2)(b) of the MMDR Act, 1957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graphite.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320"/>
        <w:ind w:left="704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Disobeying directives of higher authorities and failing to take remedial </w:t>
      </w:r>
      <w:r>
        <w:rPr>
          <w:rFonts w:ascii="Verdana" w:hAnsi="Verdana" w:eastAsia="Verdana"/>
          <w:b w:val="0"/>
          <w:i w:val="0"/>
          <w:color w:val="333333"/>
          <w:sz w:val="22"/>
        </w:rPr>
        <w:t>measures.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the approval of mining plans post lease execution, an email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stating that Section 5(2)(b) is not applicable to graphite, and a letter justifying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plans. The findings of the inquiry officer are not explicitly </w:t>
      </w:r>
      <w:r>
        <w:rPr>
          <w:rFonts w:ascii="Verdana" w:hAnsi="Verdana" w:eastAsia="Verdana"/>
          <w:b w:val="0"/>
          <w:i w:val="0"/>
          <w:color w:val="333333"/>
          <w:sz w:val="22"/>
        </w:rPr>
        <w:t>mentioned in the provided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7" w:lineRule="auto" w:before="254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