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Clarification on Approval of Mining Plans in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Arunachal Pradesh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The document does not specify the name or designation of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charged officer.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4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Regional Controller of Mines sought clarification on the approval of five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 for graphite mineral in Arunachal Pradesh. The lease deeds were executed </w:t>
      </w:r>
      <w:r>
        <w:rPr>
          <w:rFonts w:ascii="Verdana" w:hAnsi="Verdana" w:eastAsia="Verdana"/>
          <w:b w:val="0"/>
          <w:i w:val="0"/>
          <w:color w:val="333333"/>
          <w:sz w:val="22"/>
        </w:rPr>
        <w:t>before the provisional approval of the mining plans, violating the legal requirements.</w:t>
      </w:r>
    </w:p>
    <w:p>
      <w:pPr>
        <w:autoSpaceDN w:val="0"/>
        <w:autoSpaceDE w:val="0"/>
        <w:widowControl/>
        <w:spacing w:line="259" w:lineRule="auto" w:before="40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Chief Controller of Mines advised immediate remedial action to align with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 and 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addresses the clarification on the approval of five mining plans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 mineral in Arunachal Pradesh. The Regional Controller of Mines sought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clarification on the approval process, which was found to be in contravention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MMDR Act 1957 and the Minerals Concession Rules 2016. The lease deeds were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executed before the provisional approval of the mining plans, violating the legal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requirements. The Chief Controller of Mines advised immediate remedial action to </w:t>
      </w:r>
      <w:r>
        <w:rPr>
          <w:rFonts w:ascii="Verdana" w:hAnsi="Verdana" w:eastAsia="Verdana"/>
          <w:b w:val="0"/>
          <w:i w:val="0"/>
          <w:color w:val="333333"/>
          <w:sz w:val="22"/>
        </w:rPr>
        <w:t>align with the MMDR Act and 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Lease deeds were executed before the provisional approval of the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plans.</w:t>
      </w:r>
    </w:p>
    <w:p>
      <w:pPr>
        <w:autoSpaceDN w:val="0"/>
        <w:autoSpaceDE w:val="0"/>
        <w:widowControl/>
        <w:spacing w:line="240" w:lineRule="auto" w:before="116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Violations of the MMDR Act 1957 and the Minerals Concession Rules 2016.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evidence includes the dates of execution of lease deeds and the dates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provisional and final approval of mining plans. The findings indicate that the lease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deeds were executed in contravention of the MMDR Act and the Minerals Concession </w:t>
      </w:r>
      <w:r>
        <w:rPr>
          <w:rFonts w:ascii="Verdana" w:hAnsi="Verdana" w:eastAsia="Verdana"/>
          <w:b w:val="0"/>
          <w:i w:val="0"/>
          <w:color w:val="333333"/>
          <w:sz w:val="22"/>
        </w:rPr>
        <w:t>Rules.</w:t>
      </w:r>
    </w:p>
    <w:p>
      <w:pPr>
        <w:sectPr>
          <w:pgSz w:w="11906" w:h="16838"/>
          <w:pgMar w:top="700" w:right="1226" w:bottom="69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Chief Controller of Mines advised immediate remedial action to align with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 and rules.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