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Proceedings Against Shri K.K.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Tardia, RCOM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111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Mines, Nagpur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RCOM, Guwahati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proceedings were initiated following the issuance of advisory letters by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Ministry of Mines on 09.04.2021 and 13.04.2021. These letters advised against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processing mining plans under the saved clause of erstwhile section 10A(2)(b)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MMDR Act. Despite these instructions, RCOM Guwahati approved mining plans in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May and August 2021. The Ministry of Mines sought clarification on 29.11.2021, and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RCOM Guwahati responded on the same day. The Chief Controller of Mines issued a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letter on 30.11.2021 advising remedial action, but no action was taken. The Ministry </w:t>
      </w:r>
      <w:r>
        <w:rPr>
          <w:rFonts w:ascii="Verdana" w:hAnsi="Verdana" w:eastAsia="Verdana"/>
          <w:b w:val="0"/>
          <w:i w:val="0"/>
          <w:color w:val="333333"/>
          <w:sz w:val="22"/>
        </w:rPr>
        <w:t>approved a suspension order on 15.12.2021.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4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disciplinary proceedings against Shri K.K. Tardia, RCOM, for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alleged misconduct in approving mining plans in violation of the Mines and Minerals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(Development and Regulation) Act 1957 (MMDR Act). The proceedings were held on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multiple dates from June to September 2022. The key allegations include approving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mining plans contrary to the amended MMDR Act and failing to adhere to directives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from higher authorities. The background and chronology detail the issuance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advisory letters and the subsequent approval of mining plans. The evidence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presented includes emails and letters from the Ministry of Mines and IBM.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defense arguments claim that the officer sought clarification but did not receive a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response. The conclusion status is not explicitly mentioned, but the document </w:t>
      </w:r>
      <w:r>
        <w:rPr>
          <w:rFonts w:ascii="Verdana" w:hAnsi="Verdana" w:eastAsia="Verdana"/>
          <w:b w:val="0"/>
          <w:i w:val="0"/>
          <w:color w:val="333333"/>
          <w:sz w:val="22"/>
        </w:rPr>
        <w:t>suggests a suspension order was approved.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Approving mining plans contrary to the amended MMDR Act</w:t>
      </w:r>
    </w:p>
    <w:p>
      <w:pPr>
        <w:autoSpaceDN w:val="0"/>
        <w:autoSpaceDE w:val="0"/>
        <w:widowControl/>
        <w:spacing w:line="240" w:lineRule="auto" w:before="116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Failing to adhere to directives from higher authorities</w:t>
      </w:r>
    </w:p>
    <w:p>
      <w:pPr>
        <w:autoSpaceDN w:val="0"/>
        <w:autoSpaceDE w:val="0"/>
        <w:widowControl/>
        <w:spacing w:line="240" w:lineRule="auto" w:before="114" w:after="0"/>
        <w:ind w:left="0" w:right="0" w:firstLine="0"/>
        <w:jc w:val="center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Disobeying the advisory letters issued on 09.04.2021 and 13.04.2021</w:t>
      </w:r>
    </w:p>
    <w:p>
      <w:pPr>
        <w:sectPr>
          <w:pgSz w:w="11906" w:h="16838"/>
          <w:pgMar w:top="700" w:right="1226" w:bottom="858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6" w:lineRule="auto" w:before="254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evidence includes emails and letters from the Ministry of Mines and IBM,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including letters dated 09.04.2021, 13.04.2021, 29.11.2021, and 30.11.2021.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findings indicate that the officer's actions were in violation of the MMDR Act and </w:t>
      </w:r>
      <w:r>
        <w:rPr>
          <w:rFonts w:ascii="Verdana" w:hAnsi="Verdana" w:eastAsia="Verdana"/>
          <w:b w:val="0"/>
          <w:i w:val="0"/>
          <w:color w:val="333333"/>
          <w:sz w:val="22"/>
        </w:rPr>
        <w:t>caused loss to the exchequer.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64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defense claims that the officer sought clarification but did not receive a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response. The officer maintained that the remedial action was not clearly mentioned </w:t>
      </w:r>
      <w:r>
        <w:rPr>
          <w:rFonts w:ascii="Verdana" w:hAnsi="Verdana" w:eastAsia="Verdana"/>
          <w:b w:val="0"/>
          <w:i w:val="0"/>
          <w:color w:val="333333"/>
          <w:sz w:val="22"/>
        </w:rPr>
        <w:t>in the letter dated 30.11.2021.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suggests that a suspension order was approved on 15.12.2021, but </w:t>
      </w:r>
      <w:r>
        <w:rPr>
          <w:rFonts w:ascii="Verdana" w:hAnsi="Verdana" w:eastAsia="Verdana"/>
          <w:b w:val="0"/>
          <w:i w:val="0"/>
          <w:color w:val="333333"/>
          <w:sz w:val="22"/>
        </w:rPr>
        <w:t>the final outcome is not explicitly mentioned.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