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Guwahati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with disciplinary proceedings for alleged misconduct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and insubordination.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background of the case involves Shri K.K. Tardia's actions as the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Mines, Guwahati. Key dates include the MMDR Amendment Act, 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coming into force on 28/03/2021 and the undersigned taking charge of the position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on 10/05/2021. The undersigned approved five graphite mining plans during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lockdown period of the pandemic of COVID-19.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Shri K.K. Tardia,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Mines. The key allegations include his failure to be conversant with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factual provisions of Acts and rules, deliberate misinterpretation of rules,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insubordination. Evidence presented includes his approval of five graphite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during the lockdown period of the pandemic. The undersigned claims that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leases were already granted and executed by the State Government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Arunachal Pradesh before the MMDR Amendment Act, 2021 came into force.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procedural steps include the undersigned receiving communication from the State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Government of Meghalaya regarding non-applicability of Section 10 of the MMDR Act </w:t>
      </w:r>
      <w:r>
        <w:rPr>
          <w:rFonts w:ascii="Verdana" w:hAnsi="Verdana" w:eastAsia="Verdana"/>
          <w:b w:val="0"/>
          <w:i w:val="0"/>
          <w:color w:val="333333"/>
          <w:sz w:val="22"/>
        </w:rPr>
        <w:t>1957 in NE Hill Districts and considering the revocation of approved mining plans.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Failure to be conversant with factual provisions of Acts and rules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Deliberate misinterpretation of rules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0"/>
        <w:ind w:left="704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Insubordination by not taking remedial measures including revoking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plans</w:t>
      </w:r>
    </w:p>
    <w:p>
      <w:pPr>
        <w:sectPr>
          <w:pgSz w:w="11906" w:h="16838"/>
          <w:pgMar w:top="700" w:right="1226" w:bottom="116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71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the approval of five graphite mining plans during the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lockdown period of the pandemic of COVID-19. The undersigned claims that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leases were already granted and executed by the State Government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Arunachal Pradesh before the MMDR Amendment Act, 2021 came into force.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undersigned was also considering the revocation of approved mining plans but could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not do so within the expected time due to legal complications and differences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>interpretation of laws.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undersigned claims that the mining leases were already granted and executed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by the State Government of Arunachal Pradesh before the MMDR Amendment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2021 came into force. He also states that he did not restrict the auction of these </w:t>
      </w:r>
      <w:r>
        <w:rPr>
          <w:rFonts w:ascii="Verdana" w:hAnsi="Verdana" w:eastAsia="Verdana"/>
          <w:b w:val="0"/>
          <w:i w:val="0"/>
          <w:color w:val="333333"/>
          <w:sz w:val="22"/>
        </w:rPr>
        <w:t>mining leases and had no role in granting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