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Disciplinary Proceedings Against Shri K.K.</w:t>
      </w:r>
    </w:p>
    <w:p>
      <w:pPr>
        <w:autoSpaceDN w:val="0"/>
        <w:autoSpaceDE w:val="0"/>
        <w:widowControl/>
        <w:spacing w:line="240" w:lineRule="auto" w:before="68" w:after="0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Tardia for Alleged Violations of MMDR Act,</w:t>
      </w:r>
    </w:p>
    <w:p>
      <w:pPr>
        <w:autoSpaceDN w:val="0"/>
        <w:autoSpaceDE w:val="0"/>
        <w:widowControl/>
        <w:spacing w:line="240" w:lineRule="auto" w:before="68" w:after="334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1957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820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6" w:after="0"/>
              <w:ind w:left="166" w:right="0" w:firstLine="0"/>
              <w:jc w:val="left"/>
            </w:pPr>
            <w:r>
              <w:rPr>
                <w:w w:val="98.99526742788461"/>
                <w:rFonts w:ascii="Verdana" w:hAnsi="Verdana" w:eastAsia="Verdana"/>
                <w:b/>
                <w:i w:val="0"/>
                <w:color w:val="333333"/>
                <w:sz w:val="26"/>
              </w:rPr>
              <w:t>Charged Officer Details</w:t>
            </w:r>
          </w:p>
        </w:tc>
      </w:tr>
    </w:tbl>
    <w:p>
      <w:pPr>
        <w:autoSpaceDN w:val="0"/>
        <w:autoSpaceDE w:val="0"/>
        <w:widowControl/>
        <w:spacing w:line="1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386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Name: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Shri K.K. Tardia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382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Designation: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Regional Controller of Mines, Guwahati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732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Details: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Charged with violations of the MMDR Act, 1957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782"/>
        </w:trPr>
        <w:tc>
          <w:tcPr>
            <w:tcW w:type="dxa" w:w="9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416"/>
            </w:tblGrid>
            <w:tr>
              <w:trPr>
                <w:trHeight w:hRule="exact" w:val="462"/>
              </w:trPr>
              <w:tc>
                <w:tcPr>
                  <w:tcW w:type="dxa" w:w="9416"/>
                  <w:tcBorders/>
                  <w:shd w:fill="cccc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" w:after="0"/>
                    <w:ind w:left="0" w:right="0" w:firstLine="0"/>
                    <w:jc w:val="left"/>
                  </w:pPr>
                  <w:r>
                    <w:rPr>
                      <w:rFonts w:ascii="Verdana" w:hAnsi="Verdana" w:eastAsia="Verdana"/>
                      <w:b/>
                      <w:i w:val="0"/>
                      <w:color w:val="333333"/>
                      <w:sz w:val="28"/>
                    </w:rPr>
                    <w:t>Background &amp; Chronology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71" w:lineRule="auto" w:before="252" w:after="320"/>
        <w:ind w:left="0" w:right="288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case began with the approval of five mining plans for graphite leases by Shri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K.K. Tardia. This approval was alleged to be in contravention of the MMDR Act,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1957. On 29.11.2021, Shri K.K. Tardia was telephonically enquired by the Chief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Controller of Mines and advised to submit clarifications and status reports. He was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further advised to take immediate remedial measures on 30.11.2021. A </w:t>
      </w:r>
      <w:r>
        <w:br/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memorandum was issued on 21.02.2022 proposing an inquiry against Shri K.K. </w:t>
      </w:r>
      <w:r>
        <w:rPr>
          <w:rFonts w:ascii="Verdana" w:hAnsi="Verdana" w:eastAsia="Verdana"/>
          <w:b w:val="0"/>
          <w:i w:val="0"/>
          <w:color w:val="333333"/>
          <w:sz w:val="22"/>
        </w:rPr>
        <w:t>Tardia.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Executive Summary</w:t>
            </w:r>
          </w:p>
        </w:tc>
      </w:tr>
    </w:tbl>
    <w:p>
      <w:pPr>
        <w:autoSpaceDN w:val="0"/>
        <w:autoSpaceDE w:val="0"/>
        <w:widowControl/>
        <w:spacing w:line="271" w:lineRule="auto" w:before="252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Shri K.K. Tardia, Regional Controller of Mines in Guwahati, is under disciplinary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proceedings for allegedly approving mining plans for five graphite leases in </w:t>
      </w:r>
      <w:r>
        <w:br/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contravention of the MMDR Act, Yö 1957. The key allegations include acting against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provisions of the MMDR Act, misinterpreting the applicability of Section 5(2)(b)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of the Act, and disobeying directives of higher authorities. Key evidence includes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emails and letters from Shri K.K. Tardia justifying his actions and failing to take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remedial measures. The case involves important procedural steps such as telephonic </w:t>
      </w:r>
      <w:r>
        <w:rPr>
          <w:rFonts w:ascii="Verdana" w:hAnsi="Verdana" w:eastAsia="Verdana"/>
          <w:b w:val="0"/>
          <w:i w:val="0"/>
          <w:color w:val="333333"/>
          <w:sz w:val="22"/>
        </w:rPr>
        <w:t>enquires and instructions issued by the Chief Controller of Mines.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Key Allegations</w:t>
            </w:r>
          </w:p>
        </w:tc>
      </w:tr>
    </w:tbl>
    <w:p>
      <w:pPr>
        <w:autoSpaceDN w:val="0"/>
        <w:tabs>
          <w:tab w:pos="900" w:val="left"/>
        </w:tabs>
        <w:autoSpaceDE w:val="0"/>
        <w:widowControl/>
        <w:spacing w:line="259" w:lineRule="auto" w:before="252" w:after="0"/>
        <w:ind w:left="704" w:right="288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•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Acting against the provisions of the MMDR Act, 1957 by approving mining </w:t>
      </w:r>
      <w:r>
        <w:rPr>
          <w:rFonts w:ascii="Verdana" w:hAnsi="Verdana" w:eastAsia="Verdana"/>
          <w:b w:val="0"/>
          <w:i w:val="0"/>
          <w:color w:val="333333"/>
          <w:sz w:val="22"/>
        </w:rPr>
        <w:t>plans for five graphite leases.</w:t>
      </w:r>
    </w:p>
    <w:p>
      <w:pPr>
        <w:autoSpaceDN w:val="0"/>
        <w:tabs>
          <w:tab w:pos="900" w:val="left"/>
        </w:tabs>
        <w:autoSpaceDE w:val="0"/>
        <w:widowControl/>
        <w:spacing w:line="259" w:lineRule="auto" w:before="116" w:after="0"/>
        <w:ind w:left="704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•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Misinterpreting the applicability of Section 5(2)(b) of the MMDR Act, 1957 to </w:t>
      </w:r>
      <w:r>
        <w:rPr>
          <w:rFonts w:ascii="Verdana" w:hAnsi="Verdana" w:eastAsia="Verdana"/>
          <w:b w:val="0"/>
          <w:i w:val="0"/>
          <w:color w:val="333333"/>
          <w:sz w:val="22"/>
        </w:rPr>
        <w:t>graphite mineral.</w:t>
      </w:r>
    </w:p>
    <w:p>
      <w:pPr>
        <w:autoSpaceDN w:val="0"/>
        <w:tabs>
          <w:tab w:pos="900" w:val="left"/>
        </w:tabs>
        <w:autoSpaceDE w:val="0"/>
        <w:widowControl/>
        <w:spacing w:line="259" w:lineRule="auto" w:before="114" w:after="0"/>
        <w:ind w:left="704" w:right="72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•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Disobeying directives of higher authorities and failing to take remedial </w:t>
      </w:r>
      <w:r>
        <w:rPr>
          <w:rFonts w:ascii="Verdana" w:hAnsi="Verdana" w:eastAsia="Verdana"/>
          <w:b w:val="0"/>
          <w:i w:val="0"/>
          <w:color w:val="333333"/>
          <w:sz w:val="22"/>
        </w:rPr>
        <w:t>measures including revoking approval of mining plans.</w:t>
      </w:r>
    </w:p>
    <w:p>
      <w:pPr>
        <w:sectPr>
          <w:pgSz w:w="11906" w:h="16838"/>
          <w:pgMar w:top="700" w:right="1226" w:bottom="760" w:left="12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Evidence &amp; Findings</w:t>
            </w:r>
          </w:p>
        </w:tc>
      </w:tr>
    </w:tbl>
    <w:p>
      <w:pPr>
        <w:autoSpaceDN w:val="0"/>
        <w:autoSpaceDE w:val="0"/>
        <w:widowControl/>
        <w:spacing w:line="264" w:lineRule="auto" w:before="254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Key evidence includes emails and letters from Shri K.K. Tardia justifying his actions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and failing to take remedial measures. The approval of these mining plans was post </w:t>
      </w:r>
      <w:r>
        <w:rPr>
          <w:rFonts w:ascii="Verdana" w:hAnsi="Verdana" w:eastAsia="Verdana"/>
          <w:b w:val="0"/>
          <w:i w:val="0"/>
          <w:color w:val="333333"/>
          <w:sz w:val="22"/>
        </w:rPr>
        <w:t>execution of lease deeds, which is illegal according to the MMDR Act, 1957.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Defense Arguments</w:t>
            </w:r>
          </w:p>
        </w:tc>
      </w:tr>
    </w:tbl>
    <w:p>
      <w:pPr>
        <w:autoSpaceDN w:val="0"/>
        <w:autoSpaceDE w:val="0"/>
        <w:widowControl/>
        <w:spacing w:line="240" w:lineRule="auto" w:before="252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>Defense arguments not included in this document.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Conclusion/Status</w:t>
            </w:r>
          </w:p>
        </w:tc>
      </w:tr>
    </w:tbl>
    <w:p>
      <w:pPr>
        <w:autoSpaceDN w:val="0"/>
        <w:autoSpaceDE w:val="0"/>
        <w:widowControl/>
        <w:spacing w:line="259" w:lineRule="auto" w:before="252" w:after="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case is currently under inquiry with Shri K.K. Tardia directed to submit a written </w:t>
      </w:r>
      <w:r>
        <w:rPr>
          <w:rFonts w:ascii="Verdana" w:hAnsi="Verdana" w:eastAsia="Verdana"/>
          <w:b w:val="0"/>
          <w:i w:val="0"/>
          <w:color w:val="333333"/>
          <w:sz w:val="22"/>
        </w:rPr>
        <w:t>statement of defence within 15 days of receipt of the memorandum.</w:t>
      </w:r>
    </w:p>
    <w:sectPr w:rsidR="00FC693F" w:rsidRPr="0006063C" w:rsidSect="00034616">
      <w:pgSz w:w="11906" w:h="16838"/>
      <w:pgMar w:top="562" w:right="1226" w:bottom="1440" w:left="124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